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497FBC" w14:textId="6CEA6323" w:rsidR="00F17378" w:rsidRDefault="00017414" w:rsidP="00AF341F">
      <w:pPr>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DECISIONES CONFORMES</w:t>
      </w:r>
    </w:p>
    <w:p w14:paraId="61B62563" w14:textId="77777777" w:rsidR="00AF341F" w:rsidRDefault="00AF341F" w:rsidP="00AF341F">
      <w:pPr>
        <w:jc w:val="center"/>
        <w:rPr>
          <w:rFonts w:ascii="Times New Roman" w:hAnsi="Times New Roman" w:cs="Times New Roman"/>
          <w:b/>
          <w:sz w:val="28"/>
          <w:szCs w:val="28"/>
        </w:rPr>
      </w:pPr>
    </w:p>
    <w:p w14:paraId="23C53BDB" w14:textId="77777777" w:rsidR="00AF341F" w:rsidRDefault="00AF341F" w:rsidP="00AF341F">
      <w:pPr>
        <w:jc w:val="both"/>
        <w:rPr>
          <w:rFonts w:ascii="Times New Roman" w:hAnsi="Times New Roman" w:cs="Times New Roman"/>
          <w:sz w:val="28"/>
          <w:szCs w:val="28"/>
        </w:rPr>
      </w:pPr>
    </w:p>
    <w:p w14:paraId="609601D2" w14:textId="77777777" w:rsidR="00AF341F" w:rsidRDefault="00AF341F" w:rsidP="00AF341F">
      <w:pPr>
        <w:jc w:val="both"/>
        <w:rPr>
          <w:rFonts w:ascii="Times New Roman" w:hAnsi="Times New Roman" w:cs="Times New Roman"/>
          <w:b/>
          <w:sz w:val="28"/>
          <w:szCs w:val="28"/>
        </w:rPr>
      </w:pPr>
      <w:r>
        <w:rPr>
          <w:rFonts w:ascii="Times New Roman" w:hAnsi="Times New Roman" w:cs="Times New Roman"/>
          <w:b/>
          <w:sz w:val="28"/>
          <w:szCs w:val="28"/>
        </w:rPr>
        <w:t>1. Premisa</w:t>
      </w:r>
    </w:p>
    <w:p w14:paraId="75D0B724" w14:textId="77777777" w:rsidR="00AF341F" w:rsidRDefault="00AF341F" w:rsidP="00AF341F">
      <w:pPr>
        <w:jc w:val="both"/>
        <w:rPr>
          <w:rFonts w:ascii="Times New Roman" w:hAnsi="Times New Roman" w:cs="Times New Roman"/>
          <w:b/>
          <w:sz w:val="28"/>
          <w:szCs w:val="28"/>
        </w:rPr>
      </w:pPr>
    </w:p>
    <w:p w14:paraId="630EE8D2" w14:textId="77777777" w:rsidR="00AF341F" w:rsidRDefault="00AF341F" w:rsidP="00AF341F">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El sistema de la doble conforme, es decir, que la ejecutividad de un pronunciamiento se tiene sólo si sobre la nulidad del matrimonio se han pronunciado dos sentencias afirmativas, válidas y conformes.</w:t>
      </w:r>
    </w:p>
    <w:p w14:paraId="4E06AD29" w14:textId="77777777" w:rsidR="00AF341F" w:rsidRDefault="00AF341F" w:rsidP="00AF341F">
      <w:pPr>
        <w:jc w:val="both"/>
        <w:rPr>
          <w:rFonts w:ascii="Times New Roman" w:hAnsi="Times New Roman" w:cs="Times New Roman"/>
          <w:sz w:val="28"/>
          <w:szCs w:val="28"/>
        </w:rPr>
      </w:pPr>
    </w:p>
    <w:p w14:paraId="712DD4CF" w14:textId="77777777" w:rsidR="00AF341F" w:rsidRDefault="00AF341F" w:rsidP="00AF341F">
      <w:pPr>
        <w:jc w:val="both"/>
        <w:rPr>
          <w:rFonts w:ascii="Times New Roman" w:hAnsi="Times New Roman" w:cs="Times New Roman"/>
          <w:sz w:val="28"/>
          <w:szCs w:val="28"/>
        </w:rPr>
      </w:pPr>
      <w:r>
        <w:rPr>
          <w:rFonts w:ascii="Times New Roman" w:hAnsi="Times New Roman" w:cs="Times New Roman"/>
          <w:sz w:val="28"/>
          <w:szCs w:val="28"/>
        </w:rPr>
        <w:tab/>
        <w:t>Un solo pronunciamiento afirmativo sobre la nulidad del vínculo matrimonial no es capaz de permitir nuevas nupcias a los cónyuges que han obtenido aquel pronunciamiento.</w:t>
      </w:r>
    </w:p>
    <w:p w14:paraId="0649FE04" w14:textId="77777777" w:rsidR="00AF341F" w:rsidRDefault="00AF341F" w:rsidP="00AF341F">
      <w:pPr>
        <w:jc w:val="both"/>
        <w:rPr>
          <w:rFonts w:ascii="Times New Roman" w:hAnsi="Times New Roman" w:cs="Times New Roman"/>
          <w:sz w:val="28"/>
          <w:szCs w:val="28"/>
        </w:rPr>
      </w:pPr>
    </w:p>
    <w:p w14:paraId="5FA299D2" w14:textId="77777777" w:rsidR="00AF341F" w:rsidRDefault="00AF341F" w:rsidP="00AF341F">
      <w:pPr>
        <w:jc w:val="both"/>
        <w:rPr>
          <w:rFonts w:ascii="Times New Roman" w:hAnsi="Times New Roman" w:cs="Times New Roman"/>
          <w:sz w:val="28"/>
          <w:szCs w:val="28"/>
        </w:rPr>
      </w:pPr>
      <w:r>
        <w:rPr>
          <w:rFonts w:ascii="Times New Roman" w:hAnsi="Times New Roman" w:cs="Times New Roman"/>
          <w:sz w:val="28"/>
          <w:szCs w:val="28"/>
        </w:rPr>
        <w:tab/>
        <w:t>Así, por ejemplo, hasta que un pronunciamiento afirmativo de nulidad del matrimonio por temor inferido sobre la parte demandada (can. 1103) no se añada otro pronunciamiento emitido por un  tribunal de apelación, afirmativa de la nulidad de matrimonio por temor inferido sobre la parte demandada (can. 1103), los cónyuges no pueden acceder a nuevas nupcias.</w:t>
      </w:r>
      <w:r>
        <w:rPr>
          <w:rFonts w:ascii="Times New Roman" w:hAnsi="Times New Roman" w:cs="Times New Roman"/>
          <w:sz w:val="28"/>
          <w:szCs w:val="28"/>
        </w:rPr>
        <w:br/>
      </w:r>
    </w:p>
    <w:p w14:paraId="7BF3FA3B" w14:textId="77777777" w:rsidR="00AF341F" w:rsidRDefault="00AF341F" w:rsidP="00AF341F">
      <w:pPr>
        <w:jc w:val="both"/>
        <w:rPr>
          <w:rFonts w:ascii="Times New Roman" w:hAnsi="Times New Roman" w:cs="Times New Roman"/>
          <w:sz w:val="28"/>
          <w:szCs w:val="28"/>
        </w:rPr>
      </w:pPr>
      <w:r>
        <w:rPr>
          <w:rFonts w:ascii="Times New Roman" w:hAnsi="Times New Roman" w:cs="Times New Roman"/>
          <w:sz w:val="28"/>
          <w:szCs w:val="28"/>
        </w:rPr>
        <w:tab/>
        <w:t>Este sistema de la doble conforme</w:t>
      </w:r>
      <w:r w:rsidR="0046275C">
        <w:rPr>
          <w:rFonts w:ascii="Times New Roman" w:hAnsi="Times New Roman" w:cs="Times New Roman"/>
          <w:sz w:val="28"/>
          <w:szCs w:val="28"/>
        </w:rPr>
        <w:t xml:space="preserve"> ha sido confirmado por el Código de derecho canónico, no obstante una concertada campaña contraria por parte de obispos y canonistas del área anglófona, que después del Concilio habían logrado obtener de la Santa Sede normas especiales que de hecho, por dispensa generalizada, habían abolido en la práctica la necesidad de la doble conforme.</w:t>
      </w:r>
    </w:p>
    <w:p w14:paraId="59D3ADAE" w14:textId="77777777" w:rsidR="0046275C" w:rsidRDefault="0046275C" w:rsidP="00AF341F">
      <w:pPr>
        <w:jc w:val="both"/>
        <w:rPr>
          <w:rFonts w:ascii="Times New Roman" w:hAnsi="Times New Roman" w:cs="Times New Roman"/>
          <w:sz w:val="28"/>
          <w:szCs w:val="28"/>
        </w:rPr>
      </w:pPr>
    </w:p>
    <w:p w14:paraId="28BADCFB" w14:textId="77777777" w:rsidR="0046275C" w:rsidRDefault="0046275C" w:rsidP="00AF341F">
      <w:pPr>
        <w:jc w:val="both"/>
        <w:rPr>
          <w:rFonts w:ascii="Times New Roman" w:hAnsi="Times New Roman" w:cs="Times New Roman"/>
          <w:sz w:val="28"/>
          <w:szCs w:val="28"/>
        </w:rPr>
      </w:pPr>
      <w:r>
        <w:rPr>
          <w:rFonts w:ascii="Times New Roman" w:hAnsi="Times New Roman" w:cs="Times New Roman"/>
          <w:sz w:val="28"/>
          <w:szCs w:val="28"/>
        </w:rPr>
        <w:tab/>
        <w:t>Este sistema de la doble conforme ha sido confirmado por la Instr. DC, aunque no pocas Conferencias Episcopales y Autores esperaban su abolición o replanteamiento.</w:t>
      </w:r>
    </w:p>
    <w:p w14:paraId="23BC4AD3" w14:textId="77777777" w:rsidR="0046275C" w:rsidRDefault="0046275C" w:rsidP="00AF341F">
      <w:pPr>
        <w:jc w:val="both"/>
        <w:rPr>
          <w:rFonts w:ascii="Times New Roman" w:hAnsi="Times New Roman" w:cs="Times New Roman"/>
          <w:sz w:val="28"/>
          <w:szCs w:val="28"/>
        </w:rPr>
      </w:pPr>
    </w:p>
    <w:p w14:paraId="098F38A1" w14:textId="77777777" w:rsidR="0046275C" w:rsidRDefault="0046275C" w:rsidP="00AF341F">
      <w:pPr>
        <w:jc w:val="both"/>
        <w:rPr>
          <w:rFonts w:ascii="Times New Roman" w:hAnsi="Times New Roman" w:cs="Times New Roman"/>
          <w:sz w:val="28"/>
          <w:szCs w:val="28"/>
        </w:rPr>
      </w:pPr>
      <w:r>
        <w:rPr>
          <w:rFonts w:ascii="Times New Roman" w:hAnsi="Times New Roman" w:cs="Times New Roman"/>
          <w:sz w:val="28"/>
          <w:szCs w:val="28"/>
        </w:rPr>
        <w:tab/>
        <w:t>La razón principal de esta confirmación reside en la “mejor defensa del vínculo matrimonial”: la necesidad de dos pronunciamientos afirmativos conformes permite estar mayormente ciertos de la verdad y la justicia del pronunciamiento. El margen de error disminuye si un numero plural de pronunciamientos y número mayor de jueces convergen sobre un objeto.</w:t>
      </w:r>
    </w:p>
    <w:p w14:paraId="567C1FE6" w14:textId="77777777" w:rsidR="0046275C" w:rsidRDefault="0046275C" w:rsidP="00AF341F">
      <w:pPr>
        <w:jc w:val="both"/>
        <w:rPr>
          <w:rFonts w:ascii="Times New Roman" w:hAnsi="Times New Roman" w:cs="Times New Roman"/>
          <w:sz w:val="28"/>
          <w:szCs w:val="28"/>
        </w:rPr>
      </w:pPr>
    </w:p>
    <w:p w14:paraId="72E0A939" w14:textId="77777777" w:rsidR="0046275C" w:rsidRDefault="0046275C" w:rsidP="00AF341F">
      <w:pPr>
        <w:jc w:val="both"/>
        <w:rPr>
          <w:rFonts w:ascii="Times New Roman" w:hAnsi="Times New Roman" w:cs="Times New Roman"/>
          <w:sz w:val="28"/>
          <w:szCs w:val="28"/>
        </w:rPr>
      </w:pPr>
      <w:r>
        <w:rPr>
          <w:rFonts w:ascii="Times New Roman" w:hAnsi="Times New Roman" w:cs="Times New Roman"/>
          <w:sz w:val="28"/>
          <w:szCs w:val="28"/>
        </w:rPr>
        <w:tab/>
        <w:t>El principio de la doble conforme pone desde siempre serios problemas a la común dinámica de la apelación, como sistema de acceso al tribunal superior.</w:t>
      </w:r>
    </w:p>
    <w:p w14:paraId="2FC8D469" w14:textId="77777777" w:rsidR="0046275C" w:rsidRDefault="0046275C" w:rsidP="00AF341F">
      <w:pPr>
        <w:jc w:val="both"/>
        <w:rPr>
          <w:rFonts w:ascii="Times New Roman" w:hAnsi="Times New Roman" w:cs="Times New Roman"/>
          <w:sz w:val="28"/>
          <w:szCs w:val="28"/>
        </w:rPr>
      </w:pPr>
    </w:p>
    <w:p w14:paraId="46899EC7" w14:textId="77777777" w:rsidR="0046275C" w:rsidRDefault="0046275C" w:rsidP="00AF341F">
      <w:pPr>
        <w:jc w:val="both"/>
        <w:rPr>
          <w:rFonts w:ascii="Times New Roman" w:hAnsi="Times New Roman" w:cs="Times New Roman"/>
          <w:sz w:val="28"/>
          <w:szCs w:val="28"/>
        </w:rPr>
      </w:pPr>
      <w:r>
        <w:rPr>
          <w:rFonts w:ascii="Times New Roman" w:hAnsi="Times New Roman" w:cs="Times New Roman"/>
          <w:sz w:val="28"/>
          <w:szCs w:val="28"/>
        </w:rPr>
        <w:lastRenderedPageBreak/>
        <w:tab/>
        <w:t>La apelación se define como diferimiento de la causa al tribunal superior por parte de quien se siente gravado por un pronunciamiento, para un nuevo estudio y definición (cf. can. 1628).</w:t>
      </w:r>
    </w:p>
    <w:p w14:paraId="289D21F2" w14:textId="77777777" w:rsidR="0046275C" w:rsidRDefault="0046275C" w:rsidP="00AF341F">
      <w:pPr>
        <w:jc w:val="both"/>
        <w:rPr>
          <w:rFonts w:ascii="Times New Roman" w:hAnsi="Times New Roman" w:cs="Times New Roman"/>
          <w:sz w:val="28"/>
          <w:szCs w:val="28"/>
        </w:rPr>
      </w:pPr>
    </w:p>
    <w:p w14:paraId="2F2BF8BD" w14:textId="77777777" w:rsidR="0046275C" w:rsidRDefault="0046275C" w:rsidP="00AF341F">
      <w:pPr>
        <w:jc w:val="both"/>
        <w:rPr>
          <w:rFonts w:ascii="Times New Roman" w:hAnsi="Times New Roman" w:cs="Times New Roman"/>
          <w:sz w:val="28"/>
          <w:szCs w:val="28"/>
        </w:rPr>
      </w:pPr>
      <w:r>
        <w:rPr>
          <w:rFonts w:ascii="Times New Roman" w:hAnsi="Times New Roman" w:cs="Times New Roman"/>
          <w:sz w:val="28"/>
          <w:szCs w:val="28"/>
        </w:rPr>
        <w:tab/>
        <w:t>¿Cómo puede producirse un diferimiento al tribunal superior de la causa decidida afirmativamente si la pa</w:t>
      </w:r>
      <w:r w:rsidR="002B6FEF">
        <w:rPr>
          <w:rFonts w:ascii="Times New Roman" w:hAnsi="Times New Roman" w:cs="Times New Roman"/>
          <w:sz w:val="28"/>
          <w:szCs w:val="28"/>
        </w:rPr>
        <w:t>rte actora no está de acuerdo (y por tanto no está gravada y no puede apelar), y la parte demandada y el defensor del vínculo no se siente gravados, por qué comparte el pronunciamiento?.</w:t>
      </w:r>
    </w:p>
    <w:p w14:paraId="44F22A80" w14:textId="77777777" w:rsidR="002B6FEF" w:rsidRDefault="002B6FEF" w:rsidP="00AF341F">
      <w:pPr>
        <w:jc w:val="both"/>
        <w:rPr>
          <w:rFonts w:ascii="Times New Roman" w:hAnsi="Times New Roman" w:cs="Times New Roman"/>
          <w:sz w:val="28"/>
          <w:szCs w:val="28"/>
        </w:rPr>
      </w:pPr>
    </w:p>
    <w:p w14:paraId="1955410D" w14:textId="77777777" w:rsidR="002B6FEF" w:rsidRDefault="002B6FEF" w:rsidP="00AF341F">
      <w:pPr>
        <w:jc w:val="both"/>
        <w:rPr>
          <w:rFonts w:ascii="Times New Roman" w:hAnsi="Times New Roman" w:cs="Times New Roman"/>
          <w:sz w:val="28"/>
          <w:szCs w:val="28"/>
        </w:rPr>
      </w:pPr>
      <w:r>
        <w:rPr>
          <w:rFonts w:ascii="Times New Roman" w:hAnsi="Times New Roman" w:cs="Times New Roman"/>
          <w:sz w:val="28"/>
          <w:szCs w:val="28"/>
        </w:rPr>
        <w:tab/>
        <w:t>El Código de 1983 abolió la obligación institucional y general del defensor del vínculo de apelar, e inaugura la transmisión de oficio de la causa después de un primer pronunciamiento afirmativo al tribunal de grado superior (can. 1682, § 1). En una cierta conexión con esta innovación fue introducida la simplificación del proceso en grado de apelación en el caso de que en primer grado el pronunciamiento haya sido afirmativo (cf. can. 1682, § 2). Este nuevo sistema, en sus dos aspectos complementarios, rompía, al menos parcialmente, el tradicional posicionamiento institucional y contencioso de la apelación.</w:t>
      </w:r>
    </w:p>
    <w:p w14:paraId="76AD4D50" w14:textId="77777777" w:rsidR="002B6FEF" w:rsidRDefault="002B6FEF" w:rsidP="00AF341F">
      <w:pPr>
        <w:jc w:val="both"/>
        <w:rPr>
          <w:rFonts w:ascii="Times New Roman" w:hAnsi="Times New Roman" w:cs="Times New Roman"/>
          <w:sz w:val="28"/>
          <w:szCs w:val="28"/>
        </w:rPr>
      </w:pPr>
    </w:p>
    <w:p w14:paraId="717BDBBD" w14:textId="77777777" w:rsidR="002B6FEF" w:rsidRDefault="002B6FEF" w:rsidP="00AF341F">
      <w:pPr>
        <w:jc w:val="both"/>
        <w:rPr>
          <w:rFonts w:ascii="Times New Roman" w:hAnsi="Times New Roman" w:cs="Times New Roman"/>
          <w:sz w:val="28"/>
          <w:szCs w:val="28"/>
        </w:rPr>
      </w:pPr>
      <w:r>
        <w:rPr>
          <w:rFonts w:ascii="Times New Roman" w:hAnsi="Times New Roman" w:cs="Times New Roman"/>
          <w:sz w:val="28"/>
          <w:szCs w:val="28"/>
        </w:rPr>
        <w:tab/>
        <w:t>La Instr. DC parece llevar a las últimas consecuencias este nuevo planteamiento codicial a través de la ideación innovadora del un título dedicado exclusivamente a la transmisión de la causa al tribunal de apelación.</w:t>
      </w:r>
    </w:p>
    <w:p w14:paraId="37A9CE3B" w14:textId="77777777" w:rsidR="002B6FEF" w:rsidRDefault="002B6FEF" w:rsidP="00AF341F">
      <w:pPr>
        <w:jc w:val="both"/>
        <w:rPr>
          <w:rFonts w:ascii="Times New Roman" w:hAnsi="Times New Roman" w:cs="Times New Roman"/>
          <w:sz w:val="28"/>
          <w:szCs w:val="28"/>
        </w:rPr>
      </w:pPr>
    </w:p>
    <w:p w14:paraId="08598EEB" w14:textId="77777777" w:rsidR="00E02F00" w:rsidRDefault="002B6FEF" w:rsidP="00AF341F">
      <w:pPr>
        <w:jc w:val="both"/>
        <w:rPr>
          <w:rFonts w:ascii="Times New Roman" w:hAnsi="Times New Roman" w:cs="Times New Roman"/>
          <w:sz w:val="28"/>
          <w:szCs w:val="28"/>
        </w:rPr>
      </w:pPr>
      <w:r>
        <w:rPr>
          <w:rFonts w:ascii="Times New Roman" w:hAnsi="Times New Roman" w:cs="Times New Roman"/>
          <w:sz w:val="28"/>
          <w:szCs w:val="28"/>
        </w:rPr>
        <w:tab/>
        <w:t>La razón de esta disposición privilegiada no es el favor de la legislación para la decisión de nulidad, respecto a las negativas, sino la consideración de la naturaleza de las decisiones para la nulidad dadas in primer grado</w:t>
      </w:r>
      <w:r w:rsidR="008C2FEB">
        <w:rPr>
          <w:rFonts w:ascii="Times New Roman" w:hAnsi="Times New Roman" w:cs="Times New Roman"/>
          <w:sz w:val="28"/>
          <w:szCs w:val="28"/>
        </w:rPr>
        <w:t>. Si en el primer acercamiento con el caso de nulidad, el juez eclesiástico ha considerado poder superar todas las dudas serias y prudentes y alcanzar la certeza moral de la nulidad del matrimonio, esta situación no es parangonable a otras donde la nulidad no ha sido reconocida</w:t>
      </w:r>
      <w:r w:rsidR="00E02F00">
        <w:rPr>
          <w:rFonts w:ascii="Times New Roman" w:hAnsi="Times New Roman" w:cs="Times New Roman"/>
          <w:sz w:val="28"/>
          <w:szCs w:val="28"/>
        </w:rPr>
        <w:t>.</w:t>
      </w:r>
    </w:p>
    <w:p w14:paraId="6ECC8CE8" w14:textId="77777777" w:rsidR="00E02F00" w:rsidRDefault="00E02F00" w:rsidP="00AF341F">
      <w:pPr>
        <w:jc w:val="both"/>
        <w:rPr>
          <w:rFonts w:ascii="Times New Roman" w:hAnsi="Times New Roman" w:cs="Times New Roman"/>
          <w:sz w:val="28"/>
          <w:szCs w:val="28"/>
        </w:rPr>
      </w:pPr>
    </w:p>
    <w:p w14:paraId="3846A1AF"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La discriminación objetiva de las diversas situaciones ha determinado el Legislador a poner a disposición del juez de apelación, si se dan las condiciones, la posibilidad de confirmar inmediatamente la decisión precedente.</w:t>
      </w:r>
    </w:p>
    <w:p w14:paraId="08B584BA" w14:textId="77777777" w:rsidR="00E02F00" w:rsidRDefault="00E02F00" w:rsidP="00AF341F">
      <w:pPr>
        <w:jc w:val="both"/>
        <w:rPr>
          <w:rFonts w:ascii="Times New Roman" w:hAnsi="Times New Roman" w:cs="Times New Roman"/>
          <w:sz w:val="28"/>
          <w:szCs w:val="28"/>
        </w:rPr>
      </w:pPr>
    </w:p>
    <w:p w14:paraId="36B1985B"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El procedimiento para acceder a esta posibilidad de confirmación rápida de la decisión afirmativa de primer grado es la siguiente:</w:t>
      </w:r>
    </w:p>
    <w:p w14:paraId="562EAB28" w14:textId="77777777" w:rsidR="00E02F00" w:rsidRDefault="00E02F00" w:rsidP="00AF341F">
      <w:pPr>
        <w:jc w:val="both"/>
        <w:rPr>
          <w:rFonts w:ascii="Times New Roman" w:hAnsi="Times New Roman" w:cs="Times New Roman"/>
          <w:sz w:val="28"/>
          <w:szCs w:val="28"/>
        </w:rPr>
      </w:pPr>
    </w:p>
    <w:p w14:paraId="5768FE0A"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 xml:space="preserve">- recepción del Tribunal </w:t>
      </w:r>
      <w:r>
        <w:rPr>
          <w:rFonts w:ascii="Times New Roman" w:hAnsi="Times New Roman" w:cs="Times New Roman"/>
          <w:i/>
          <w:sz w:val="28"/>
          <w:szCs w:val="28"/>
        </w:rPr>
        <w:t>a quo</w:t>
      </w:r>
      <w:r>
        <w:rPr>
          <w:rFonts w:ascii="Times New Roman" w:hAnsi="Times New Roman" w:cs="Times New Roman"/>
          <w:sz w:val="28"/>
          <w:szCs w:val="28"/>
        </w:rPr>
        <w:t xml:space="preserve"> de la sentencia, de las actas y de las apelaciones;</w:t>
      </w:r>
    </w:p>
    <w:p w14:paraId="71E69DAC"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lastRenderedPageBreak/>
        <w:tab/>
        <w:t>- constitución del Colegio;</w:t>
      </w:r>
    </w:p>
    <w:p w14:paraId="373BB9BC"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 xml:space="preserve">- transmisión al Defensor del Vínculo de las actas para sus </w:t>
      </w:r>
      <w:r>
        <w:rPr>
          <w:rFonts w:ascii="Times New Roman" w:hAnsi="Times New Roman" w:cs="Times New Roman"/>
          <w:i/>
          <w:sz w:val="28"/>
          <w:szCs w:val="28"/>
        </w:rPr>
        <w:t>animadversiones</w:t>
      </w:r>
      <w:r>
        <w:rPr>
          <w:rFonts w:ascii="Times New Roman" w:hAnsi="Times New Roman" w:cs="Times New Roman"/>
          <w:sz w:val="28"/>
          <w:szCs w:val="28"/>
        </w:rPr>
        <w:t>;</w:t>
      </w:r>
    </w:p>
    <w:p w14:paraId="09512AA8"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 xml:space="preserve">- invitación de las partes que presenten, si lo creen, sus </w:t>
      </w:r>
      <w:r>
        <w:rPr>
          <w:rFonts w:ascii="Times New Roman" w:hAnsi="Times New Roman" w:cs="Times New Roman"/>
          <w:i/>
          <w:sz w:val="28"/>
          <w:szCs w:val="28"/>
        </w:rPr>
        <w:t>animadversiones</w:t>
      </w:r>
      <w:r>
        <w:rPr>
          <w:rFonts w:ascii="Times New Roman" w:hAnsi="Times New Roman" w:cs="Times New Roman"/>
          <w:sz w:val="28"/>
          <w:szCs w:val="28"/>
        </w:rPr>
        <w:t>.</w:t>
      </w:r>
    </w:p>
    <w:p w14:paraId="09DE1BD8" w14:textId="77777777" w:rsidR="00E02F00" w:rsidRDefault="00E02F00" w:rsidP="00AF341F">
      <w:pPr>
        <w:jc w:val="both"/>
        <w:rPr>
          <w:rFonts w:ascii="Times New Roman" w:hAnsi="Times New Roman" w:cs="Times New Roman"/>
          <w:sz w:val="28"/>
          <w:szCs w:val="28"/>
        </w:rPr>
      </w:pPr>
    </w:p>
    <w:p w14:paraId="28DED269"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La estructura simple del procedimiento impide que en ésa encuentren lugar elementos extraños, los cuales, por ejemplo,</w:t>
      </w:r>
    </w:p>
    <w:p w14:paraId="073ACEAE" w14:textId="77777777" w:rsidR="00E02F00" w:rsidRDefault="00E02F00" w:rsidP="00AF341F">
      <w:pPr>
        <w:jc w:val="both"/>
        <w:rPr>
          <w:rFonts w:ascii="Times New Roman" w:hAnsi="Times New Roman" w:cs="Times New Roman"/>
          <w:sz w:val="28"/>
          <w:szCs w:val="28"/>
        </w:rPr>
      </w:pPr>
    </w:p>
    <w:p w14:paraId="76179617"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 xml:space="preserve">- acogida de pruebas. No se puede negar a las partes (actor, demandado y defensor del vínculo) el derecho de presentar, es decir, proponer, pruebas en la apelación, sino también en las </w:t>
      </w:r>
      <w:r>
        <w:rPr>
          <w:rFonts w:ascii="Times New Roman" w:hAnsi="Times New Roman" w:cs="Times New Roman"/>
          <w:i/>
          <w:sz w:val="28"/>
          <w:szCs w:val="28"/>
        </w:rPr>
        <w:t>animadversiones</w:t>
      </w:r>
      <w:r>
        <w:rPr>
          <w:rFonts w:ascii="Times New Roman" w:hAnsi="Times New Roman" w:cs="Times New Roman"/>
          <w:sz w:val="28"/>
          <w:szCs w:val="28"/>
        </w:rPr>
        <w:t xml:space="preserve">; ello podría revelarse útil también para motivar la petición de un reenvío a examen ordinario. Lo que no debe suceder es que el juez en el </w:t>
      </w:r>
      <w:r>
        <w:rPr>
          <w:rFonts w:ascii="Times New Roman" w:hAnsi="Times New Roman" w:cs="Times New Roman"/>
          <w:i/>
          <w:sz w:val="28"/>
          <w:szCs w:val="28"/>
        </w:rPr>
        <w:t>processus brevior</w:t>
      </w:r>
      <w:r>
        <w:rPr>
          <w:rFonts w:ascii="Times New Roman" w:hAnsi="Times New Roman" w:cs="Times New Roman"/>
          <w:sz w:val="28"/>
          <w:szCs w:val="28"/>
        </w:rPr>
        <w:t xml:space="preserve"> acoja o admita de cualquier forma las pruebas propuestas;</w:t>
      </w:r>
    </w:p>
    <w:p w14:paraId="01E5E8FF" w14:textId="77777777" w:rsidR="00E02F00" w:rsidRDefault="00E02F00" w:rsidP="00AF341F">
      <w:pPr>
        <w:jc w:val="both"/>
        <w:rPr>
          <w:rFonts w:ascii="Times New Roman" w:hAnsi="Times New Roman" w:cs="Times New Roman"/>
          <w:sz w:val="28"/>
          <w:szCs w:val="28"/>
        </w:rPr>
      </w:pPr>
    </w:p>
    <w:p w14:paraId="6C281CD5"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 xml:space="preserve">- intercambio de </w:t>
      </w:r>
      <w:r>
        <w:rPr>
          <w:rFonts w:ascii="Times New Roman" w:hAnsi="Times New Roman" w:cs="Times New Roman"/>
          <w:i/>
          <w:sz w:val="28"/>
          <w:szCs w:val="28"/>
        </w:rPr>
        <w:t>animadversiones</w:t>
      </w:r>
      <w:r>
        <w:rPr>
          <w:rFonts w:ascii="Times New Roman" w:hAnsi="Times New Roman" w:cs="Times New Roman"/>
          <w:sz w:val="28"/>
          <w:szCs w:val="28"/>
        </w:rPr>
        <w:t xml:space="preserve"> en vista de réplicas o respuestas. La jurisprudencia de la Signatura Apostólica y de la Rota Romana niega el derecho de réplica y de respuesta, así como tampoco aprueba la praxis de admitir en concreto una réplica. De mayor gravedad es la concesión de la réplica a una sola parte, en detrimento de la paridad procesal entre las partes.</w:t>
      </w:r>
    </w:p>
    <w:p w14:paraId="59E6F8F0" w14:textId="77777777" w:rsidR="00E02F00" w:rsidRDefault="00E02F00" w:rsidP="00AF341F">
      <w:pPr>
        <w:jc w:val="both"/>
        <w:rPr>
          <w:rFonts w:ascii="Times New Roman" w:hAnsi="Times New Roman" w:cs="Times New Roman"/>
          <w:sz w:val="28"/>
          <w:szCs w:val="28"/>
        </w:rPr>
      </w:pPr>
    </w:p>
    <w:p w14:paraId="0CE8ECC7" w14:textId="77777777" w:rsidR="00E02F00"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La principal novedad de la normativa de la Instr. DC en materia se refiere a la obligación de advertir a las partes con el fin de que, si lo desean, propongan observaciones al tribunal de apelación. Es obligación que cae sobre el juez del tribunal de apelación (presidente o ponente).</w:t>
      </w:r>
    </w:p>
    <w:p w14:paraId="5ED03CBF" w14:textId="77777777" w:rsidR="00E02F00" w:rsidRDefault="00E02F00" w:rsidP="00AF341F">
      <w:pPr>
        <w:jc w:val="both"/>
        <w:rPr>
          <w:rFonts w:ascii="Times New Roman" w:hAnsi="Times New Roman" w:cs="Times New Roman"/>
          <w:sz w:val="28"/>
          <w:szCs w:val="28"/>
        </w:rPr>
      </w:pPr>
    </w:p>
    <w:p w14:paraId="75B75CE6" w14:textId="77777777" w:rsidR="003F468A" w:rsidRDefault="00E02F00" w:rsidP="00AF341F">
      <w:pPr>
        <w:jc w:val="both"/>
        <w:rPr>
          <w:rFonts w:ascii="Times New Roman" w:hAnsi="Times New Roman" w:cs="Times New Roman"/>
          <w:sz w:val="28"/>
          <w:szCs w:val="28"/>
        </w:rPr>
      </w:pPr>
      <w:r>
        <w:rPr>
          <w:rFonts w:ascii="Times New Roman" w:hAnsi="Times New Roman" w:cs="Times New Roman"/>
          <w:sz w:val="28"/>
          <w:szCs w:val="28"/>
        </w:rPr>
        <w:tab/>
        <w:t>Se trata de una innovación de gran relevancia, no prevista por el Código. Ésta introduce una tutela segura del derecho de defensa de las partes, sea porque les advierte con claridad de la facultad reconocida de presentar observaciones en esta fase del proces</w:t>
      </w:r>
      <w:r w:rsidR="003F468A">
        <w:rPr>
          <w:rFonts w:ascii="Times New Roman" w:hAnsi="Times New Roman" w:cs="Times New Roman"/>
          <w:sz w:val="28"/>
          <w:szCs w:val="28"/>
        </w:rPr>
        <w:t>o, sea porque introduce casi una pausa en un proceso oficioso que, a veces se ha constado, corre hacia el decreto de confirmación sin alguna posibilidad de las partes de conocer el estado en el que se encuentra y los tiempos de desarrollo.</w:t>
      </w:r>
    </w:p>
    <w:p w14:paraId="1673EAE1" w14:textId="77777777" w:rsidR="003F468A" w:rsidRDefault="003F468A" w:rsidP="00AF341F">
      <w:pPr>
        <w:jc w:val="both"/>
        <w:rPr>
          <w:rFonts w:ascii="Times New Roman" w:hAnsi="Times New Roman" w:cs="Times New Roman"/>
          <w:sz w:val="28"/>
          <w:szCs w:val="28"/>
        </w:rPr>
      </w:pPr>
    </w:p>
    <w:p w14:paraId="78066F02" w14:textId="77777777" w:rsidR="003F468A" w:rsidRDefault="003F468A" w:rsidP="00AF341F">
      <w:pPr>
        <w:jc w:val="both"/>
        <w:rPr>
          <w:rFonts w:ascii="Times New Roman" w:hAnsi="Times New Roman" w:cs="Times New Roman"/>
          <w:sz w:val="28"/>
          <w:szCs w:val="28"/>
        </w:rPr>
      </w:pPr>
      <w:r>
        <w:rPr>
          <w:rFonts w:ascii="Times New Roman" w:hAnsi="Times New Roman" w:cs="Times New Roman"/>
          <w:sz w:val="28"/>
          <w:szCs w:val="28"/>
        </w:rPr>
        <w:tab/>
        <w:t>La formulación absoluta del texto de la DC, art. 265 § 2 se declara a favor del cumplimiento universal de esta advertencia, que no vendría menos en el caso donde la parte haya interpuesto apelación, o la parte haya sido ya advertida claramente de su derecho con ocasión de la indicación de los modos de impugnar la sentencia, o la parte sea la victoriosa en primer grado.</w:t>
      </w:r>
    </w:p>
    <w:p w14:paraId="29DDA58D" w14:textId="77777777" w:rsidR="003F468A" w:rsidRDefault="003F468A" w:rsidP="00AF341F">
      <w:pPr>
        <w:jc w:val="both"/>
        <w:rPr>
          <w:rFonts w:ascii="Times New Roman" w:hAnsi="Times New Roman" w:cs="Times New Roman"/>
          <w:sz w:val="28"/>
          <w:szCs w:val="28"/>
        </w:rPr>
      </w:pPr>
    </w:p>
    <w:p w14:paraId="3724D596" w14:textId="77777777" w:rsidR="003F468A" w:rsidRDefault="003F468A" w:rsidP="00AF341F">
      <w:pPr>
        <w:jc w:val="both"/>
        <w:rPr>
          <w:rFonts w:ascii="Times New Roman" w:hAnsi="Times New Roman" w:cs="Times New Roman"/>
          <w:sz w:val="28"/>
          <w:szCs w:val="28"/>
        </w:rPr>
      </w:pPr>
      <w:r>
        <w:rPr>
          <w:rFonts w:ascii="Times New Roman" w:hAnsi="Times New Roman" w:cs="Times New Roman"/>
          <w:sz w:val="28"/>
          <w:szCs w:val="28"/>
        </w:rPr>
        <w:lastRenderedPageBreak/>
        <w:tab/>
        <w:t>Para que sea eficaz la advertencia debe contener al menos la indicación de un término para la presentación de las eventuales observaciones, a través del establecimiento de un tiempo dentro del cual debe presentarlas, o la información del día en el que se ha fijado la sesión para la decisión.</w:t>
      </w:r>
    </w:p>
    <w:p w14:paraId="1B229A49" w14:textId="77777777" w:rsidR="003F468A" w:rsidRDefault="003F468A" w:rsidP="00AF341F">
      <w:pPr>
        <w:jc w:val="both"/>
        <w:rPr>
          <w:rFonts w:ascii="Times New Roman" w:hAnsi="Times New Roman" w:cs="Times New Roman"/>
          <w:sz w:val="28"/>
          <w:szCs w:val="28"/>
        </w:rPr>
      </w:pPr>
    </w:p>
    <w:p w14:paraId="19859E3D" w14:textId="77777777" w:rsidR="003F468A" w:rsidRDefault="003F468A" w:rsidP="00AF341F">
      <w:pPr>
        <w:jc w:val="both"/>
        <w:rPr>
          <w:rFonts w:ascii="Times New Roman" w:hAnsi="Times New Roman" w:cs="Times New Roman"/>
          <w:sz w:val="28"/>
          <w:szCs w:val="28"/>
        </w:rPr>
      </w:pPr>
      <w:r>
        <w:rPr>
          <w:rFonts w:ascii="Times New Roman" w:hAnsi="Times New Roman" w:cs="Times New Roman"/>
          <w:sz w:val="28"/>
          <w:szCs w:val="28"/>
        </w:rPr>
        <w:tab/>
        <w:t xml:space="preserve">Nada cambia, como es lógico, en los motivos de nulidad de la decisión: la omisión de esta advertencia no provoca </w:t>
      </w:r>
      <w:r>
        <w:rPr>
          <w:rFonts w:ascii="Times New Roman" w:hAnsi="Times New Roman" w:cs="Times New Roman"/>
          <w:i/>
          <w:sz w:val="28"/>
          <w:szCs w:val="28"/>
        </w:rPr>
        <w:t>per se</w:t>
      </w:r>
      <w:r>
        <w:rPr>
          <w:rFonts w:ascii="Times New Roman" w:hAnsi="Times New Roman" w:cs="Times New Roman"/>
          <w:sz w:val="28"/>
          <w:szCs w:val="28"/>
        </w:rPr>
        <w:t xml:space="preserve"> alguna nulidad en ámbito procesal, permaneciendo intacta la normativa sobre los motivos de la querella de nulidad prevista en el Código.</w:t>
      </w:r>
    </w:p>
    <w:p w14:paraId="36145B15" w14:textId="77777777" w:rsidR="003F468A" w:rsidRDefault="003F468A" w:rsidP="00AF341F">
      <w:pPr>
        <w:jc w:val="both"/>
        <w:rPr>
          <w:rFonts w:ascii="Times New Roman" w:hAnsi="Times New Roman" w:cs="Times New Roman"/>
          <w:sz w:val="28"/>
          <w:szCs w:val="28"/>
        </w:rPr>
      </w:pPr>
    </w:p>
    <w:p w14:paraId="45F71510" w14:textId="77777777" w:rsidR="003F468A" w:rsidRDefault="003F468A" w:rsidP="00AF341F">
      <w:pPr>
        <w:jc w:val="both"/>
        <w:rPr>
          <w:rFonts w:ascii="Times New Roman" w:hAnsi="Times New Roman" w:cs="Times New Roman"/>
          <w:b/>
          <w:sz w:val="28"/>
          <w:szCs w:val="28"/>
        </w:rPr>
      </w:pPr>
      <w:r>
        <w:rPr>
          <w:rFonts w:ascii="Times New Roman" w:hAnsi="Times New Roman" w:cs="Times New Roman"/>
          <w:b/>
          <w:sz w:val="28"/>
          <w:szCs w:val="28"/>
        </w:rPr>
        <w:t>2. La Sesión</w:t>
      </w:r>
    </w:p>
    <w:p w14:paraId="32EFD7E3" w14:textId="77777777" w:rsidR="003F468A" w:rsidRDefault="003F468A" w:rsidP="00AF341F">
      <w:pPr>
        <w:jc w:val="both"/>
        <w:rPr>
          <w:rFonts w:ascii="Times New Roman" w:hAnsi="Times New Roman" w:cs="Times New Roman"/>
          <w:b/>
          <w:sz w:val="28"/>
          <w:szCs w:val="28"/>
        </w:rPr>
      </w:pPr>
    </w:p>
    <w:p w14:paraId="3639E779" w14:textId="77777777" w:rsidR="00EA521C" w:rsidRDefault="003F468A" w:rsidP="00AF341F">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Al Colegio reunido en sesión corresponde una única alternativa: o confirmar la decisión de primer grado, o reenviar la causa a examen ordinario. Opciones secundarias o residuales, como, por ej. el </w:t>
      </w:r>
      <w:r>
        <w:rPr>
          <w:rFonts w:ascii="Times New Roman" w:hAnsi="Times New Roman" w:cs="Times New Roman"/>
          <w:i/>
          <w:sz w:val="28"/>
          <w:szCs w:val="28"/>
        </w:rPr>
        <w:t>dilata</w:t>
      </w:r>
      <w:r>
        <w:rPr>
          <w:rFonts w:ascii="Times New Roman" w:hAnsi="Times New Roman" w:cs="Times New Roman"/>
          <w:sz w:val="28"/>
          <w:szCs w:val="28"/>
        </w:rPr>
        <w:t xml:space="preserve"> y la decisión sobre el </w:t>
      </w:r>
      <w:r>
        <w:rPr>
          <w:rFonts w:ascii="Times New Roman" w:hAnsi="Times New Roman" w:cs="Times New Roman"/>
          <w:i/>
          <w:sz w:val="28"/>
          <w:szCs w:val="28"/>
        </w:rPr>
        <w:t>vetitum</w:t>
      </w:r>
      <w:r w:rsidR="00EA521C">
        <w:rPr>
          <w:rFonts w:ascii="Times New Roman" w:hAnsi="Times New Roman" w:cs="Times New Roman"/>
          <w:sz w:val="28"/>
          <w:szCs w:val="28"/>
        </w:rPr>
        <w:t>, o excepcionales, como el decreto de conformidad equivalente, no deben ensombrecer la real y única alternativa entre la inmediata confirmación y el reenvío al examen ordinario.</w:t>
      </w:r>
    </w:p>
    <w:p w14:paraId="6671D5C9" w14:textId="77777777" w:rsidR="00EA521C" w:rsidRDefault="00EA521C" w:rsidP="00AF341F">
      <w:pPr>
        <w:jc w:val="both"/>
        <w:rPr>
          <w:rFonts w:ascii="Times New Roman" w:hAnsi="Times New Roman" w:cs="Times New Roman"/>
          <w:sz w:val="28"/>
          <w:szCs w:val="28"/>
        </w:rPr>
      </w:pPr>
    </w:p>
    <w:p w14:paraId="38236F24" w14:textId="77777777" w:rsidR="002B6FEF" w:rsidRDefault="00EA521C" w:rsidP="00AF341F">
      <w:pPr>
        <w:jc w:val="both"/>
        <w:rPr>
          <w:rFonts w:ascii="Times New Roman" w:hAnsi="Times New Roman" w:cs="Times New Roman"/>
          <w:sz w:val="28"/>
          <w:szCs w:val="28"/>
        </w:rPr>
      </w:pPr>
      <w:r>
        <w:rPr>
          <w:rFonts w:ascii="Times New Roman" w:hAnsi="Times New Roman" w:cs="Times New Roman"/>
          <w:sz w:val="28"/>
          <w:szCs w:val="28"/>
        </w:rPr>
        <w:tab/>
        <w:t xml:space="preserve">Una de las </w:t>
      </w:r>
      <w:r>
        <w:rPr>
          <w:rFonts w:ascii="Times New Roman" w:hAnsi="Times New Roman" w:cs="Times New Roman"/>
          <w:i/>
          <w:sz w:val="28"/>
          <w:szCs w:val="28"/>
        </w:rPr>
        <w:t>cruces interpretum</w:t>
      </w:r>
      <w:r>
        <w:rPr>
          <w:rFonts w:ascii="Times New Roman" w:hAnsi="Times New Roman" w:cs="Times New Roman"/>
          <w:sz w:val="28"/>
          <w:szCs w:val="28"/>
        </w:rPr>
        <w:t xml:space="preserve"> de mayor espesos que fueron puestas por la nueva normativa sobre el </w:t>
      </w:r>
      <w:r>
        <w:rPr>
          <w:rFonts w:ascii="Times New Roman" w:hAnsi="Times New Roman" w:cs="Times New Roman"/>
          <w:i/>
          <w:sz w:val="28"/>
          <w:szCs w:val="28"/>
        </w:rPr>
        <w:t>processus brevior</w:t>
      </w:r>
      <w:r>
        <w:rPr>
          <w:rFonts w:ascii="Times New Roman" w:hAnsi="Times New Roman" w:cs="Times New Roman"/>
          <w:sz w:val="28"/>
          <w:szCs w:val="28"/>
        </w:rPr>
        <w:t xml:space="preserve">, se refirió a la función de las actas de primer grado en relación a la decisión de confirmación: ¿los jueces de la confirmación dan el </w:t>
      </w:r>
      <w:r>
        <w:rPr>
          <w:rFonts w:ascii="Times New Roman" w:hAnsi="Times New Roman" w:cs="Times New Roman"/>
          <w:i/>
          <w:sz w:val="28"/>
          <w:szCs w:val="28"/>
        </w:rPr>
        <w:t>decretum confirmatorium</w:t>
      </w:r>
      <w:r>
        <w:rPr>
          <w:rFonts w:ascii="Times New Roman" w:hAnsi="Times New Roman" w:cs="Times New Roman"/>
          <w:sz w:val="28"/>
          <w:szCs w:val="28"/>
        </w:rPr>
        <w:t xml:space="preserve"> en base a la (sola) sentencia (afirmativa) de primer grado, o bien examinan (también) (todas) las actas de primer grado?.</w:t>
      </w:r>
    </w:p>
    <w:p w14:paraId="426B79DE" w14:textId="77777777" w:rsidR="00EA521C" w:rsidRDefault="00EA521C" w:rsidP="00AF341F">
      <w:pPr>
        <w:jc w:val="both"/>
        <w:rPr>
          <w:rFonts w:ascii="Times New Roman" w:hAnsi="Times New Roman" w:cs="Times New Roman"/>
          <w:sz w:val="28"/>
          <w:szCs w:val="28"/>
        </w:rPr>
      </w:pPr>
    </w:p>
    <w:p w14:paraId="302EFF8F" w14:textId="77777777" w:rsidR="00EA521C" w:rsidRDefault="00EA521C" w:rsidP="00AF341F">
      <w:pPr>
        <w:jc w:val="both"/>
        <w:rPr>
          <w:rFonts w:ascii="Times New Roman" w:hAnsi="Times New Roman" w:cs="Times New Roman"/>
          <w:sz w:val="28"/>
          <w:szCs w:val="28"/>
        </w:rPr>
      </w:pPr>
      <w:r>
        <w:rPr>
          <w:rFonts w:ascii="Times New Roman" w:hAnsi="Times New Roman" w:cs="Times New Roman"/>
          <w:sz w:val="28"/>
          <w:szCs w:val="28"/>
        </w:rPr>
        <w:tab/>
        <w:t>Las posiciones doctrinales, por una lado, y más aún, las praxis procesales, por otro, elaboran una serie de diversas hipótesis, sostenidas por correlativas razones.</w:t>
      </w:r>
    </w:p>
    <w:p w14:paraId="160ED67C" w14:textId="77777777" w:rsidR="00EA521C" w:rsidRDefault="00EA521C" w:rsidP="00AF341F">
      <w:pPr>
        <w:jc w:val="both"/>
        <w:rPr>
          <w:rFonts w:ascii="Times New Roman" w:hAnsi="Times New Roman" w:cs="Times New Roman"/>
          <w:sz w:val="28"/>
          <w:szCs w:val="28"/>
        </w:rPr>
      </w:pPr>
    </w:p>
    <w:p w14:paraId="52471C1A" w14:textId="77777777" w:rsidR="00EA521C" w:rsidRDefault="00EA521C" w:rsidP="00AF341F">
      <w:pPr>
        <w:jc w:val="both"/>
        <w:rPr>
          <w:rFonts w:ascii="Times New Roman" w:hAnsi="Times New Roman" w:cs="Times New Roman"/>
          <w:sz w:val="28"/>
          <w:szCs w:val="28"/>
        </w:rPr>
      </w:pPr>
      <w:r>
        <w:rPr>
          <w:rFonts w:ascii="Times New Roman" w:hAnsi="Times New Roman" w:cs="Times New Roman"/>
          <w:sz w:val="28"/>
          <w:szCs w:val="28"/>
        </w:rPr>
        <w:tab/>
        <w:t xml:space="preserve"> La instrucción, de texto normativo destinado a regular la praxis procesal, no entra en la cuestión de las contraposiciones; confirma la prescripción del can. 1682, § 1, con frecuencia apela a la jurisprudencia de la Signatura Apostólica; integra sobre este punto codicial, objeto de muchas interpretaciones</w:t>
      </w:r>
      <w:r w:rsidR="0098178D">
        <w:rPr>
          <w:rFonts w:ascii="Times New Roman" w:hAnsi="Times New Roman" w:cs="Times New Roman"/>
          <w:sz w:val="28"/>
          <w:szCs w:val="28"/>
        </w:rPr>
        <w:t>. Tres interpretaciones aparecen relevantes.</w:t>
      </w:r>
    </w:p>
    <w:p w14:paraId="0D0DEF1C" w14:textId="77777777" w:rsidR="0098178D" w:rsidRDefault="0098178D" w:rsidP="00AF341F">
      <w:pPr>
        <w:jc w:val="both"/>
        <w:rPr>
          <w:rFonts w:ascii="Times New Roman" w:hAnsi="Times New Roman" w:cs="Times New Roman"/>
          <w:sz w:val="28"/>
          <w:szCs w:val="28"/>
        </w:rPr>
      </w:pPr>
    </w:p>
    <w:p w14:paraId="6A9ABA98" w14:textId="77777777" w:rsidR="0098178D" w:rsidRDefault="0098178D" w:rsidP="00AF341F">
      <w:pPr>
        <w:jc w:val="both"/>
        <w:rPr>
          <w:rFonts w:ascii="Times New Roman" w:hAnsi="Times New Roman" w:cs="Times New Roman"/>
          <w:sz w:val="28"/>
          <w:szCs w:val="28"/>
        </w:rPr>
      </w:pPr>
      <w:r>
        <w:rPr>
          <w:rFonts w:ascii="Times New Roman" w:hAnsi="Times New Roman" w:cs="Times New Roman"/>
          <w:sz w:val="28"/>
          <w:szCs w:val="28"/>
        </w:rPr>
        <w:tab/>
        <w:t xml:space="preserve">La primera se encuentra en el art. 265 § 2. Las actas, (además de la sentencia) no sólo deben ser enviadas por el tribunal de primer grado, como de oficio le corresponde en virtud del can. 1682, § 1, sino que deben también ser </w:t>
      </w:r>
      <w:r>
        <w:rPr>
          <w:rFonts w:ascii="Times New Roman" w:hAnsi="Times New Roman" w:cs="Times New Roman"/>
          <w:i/>
          <w:sz w:val="28"/>
          <w:szCs w:val="28"/>
        </w:rPr>
        <w:t>recibidas</w:t>
      </w:r>
      <w:r>
        <w:rPr>
          <w:rFonts w:ascii="Times New Roman" w:hAnsi="Times New Roman" w:cs="Times New Roman"/>
          <w:sz w:val="28"/>
          <w:szCs w:val="28"/>
        </w:rPr>
        <w:t xml:space="preserve"> por el tribunal de apelación antes de cualquier actividad procesal. No puede constituirse el tribunal, que es el primer acto del proceso, si las actas no han llegado.</w:t>
      </w:r>
    </w:p>
    <w:p w14:paraId="4CF5469D" w14:textId="77777777" w:rsidR="0098178D" w:rsidRDefault="0098178D" w:rsidP="00AF341F">
      <w:pPr>
        <w:jc w:val="both"/>
        <w:rPr>
          <w:rFonts w:ascii="Times New Roman" w:hAnsi="Times New Roman" w:cs="Times New Roman"/>
          <w:sz w:val="28"/>
          <w:szCs w:val="28"/>
        </w:rPr>
      </w:pPr>
      <w:r>
        <w:rPr>
          <w:rFonts w:ascii="Times New Roman" w:hAnsi="Times New Roman" w:cs="Times New Roman"/>
          <w:sz w:val="28"/>
          <w:szCs w:val="28"/>
        </w:rPr>
        <w:lastRenderedPageBreak/>
        <w:tab/>
        <w:t xml:space="preserve">La segunda está contenida en el mismo parágrafo. Aquí las actas recibidas no se dejan casi como en depósito a (la Cancillería del) tribunal de apelación: éstas son enviadas al defensor del vínculo, son puesta a disposición de un parte (pública) del proceso. Y esta transmisión debe realizarse trámite decreto: lo que significa, por un lado, resolver cualquier </w:t>
      </w:r>
      <w:r>
        <w:rPr>
          <w:rFonts w:ascii="Times New Roman" w:hAnsi="Times New Roman" w:cs="Times New Roman"/>
          <w:i/>
          <w:sz w:val="28"/>
          <w:szCs w:val="28"/>
        </w:rPr>
        <w:t>incertidumbre</w:t>
      </w:r>
      <w:r>
        <w:rPr>
          <w:rFonts w:ascii="Times New Roman" w:hAnsi="Times New Roman" w:cs="Times New Roman"/>
          <w:sz w:val="28"/>
          <w:szCs w:val="28"/>
        </w:rPr>
        <w:t xml:space="preserve"> acerca de la disponibilidad de las actas para el defensor del vínculo, por otro, dejar constancia en las actas de la transmisión realizada. </w:t>
      </w:r>
    </w:p>
    <w:p w14:paraId="78A2D65D" w14:textId="77777777" w:rsidR="0098178D" w:rsidRDefault="0098178D" w:rsidP="00AF341F">
      <w:pPr>
        <w:jc w:val="both"/>
        <w:rPr>
          <w:rFonts w:ascii="Times New Roman" w:hAnsi="Times New Roman" w:cs="Times New Roman"/>
          <w:sz w:val="28"/>
          <w:szCs w:val="28"/>
        </w:rPr>
      </w:pPr>
    </w:p>
    <w:p w14:paraId="1A06AC1E" w14:textId="77777777" w:rsidR="0098178D" w:rsidRDefault="0098178D" w:rsidP="00AF341F">
      <w:pPr>
        <w:jc w:val="both"/>
        <w:rPr>
          <w:rFonts w:ascii="Times New Roman" w:hAnsi="Times New Roman" w:cs="Times New Roman"/>
          <w:sz w:val="28"/>
          <w:szCs w:val="28"/>
        </w:rPr>
      </w:pPr>
      <w:r>
        <w:rPr>
          <w:rFonts w:ascii="Times New Roman" w:hAnsi="Times New Roman" w:cs="Times New Roman"/>
          <w:sz w:val="28"/>
          <w:szCs w:val="28"/>
        </w:rPr>
        <w:tab/>
        <w:t xml:space="preserve">El defensor del vínculo deber proponer su propias </w:t>
      </w:r>
      <w:r>
        <w:rPr>
          <w:rFonts w:ascii="Times New Roman" w:hAnsi="Times New Roman" w:cs="Times New Roman"/>
          <w:i/>
          <w:sz w:val="28"/>
          <w:szCs w:val="28"/>
        </w:rPr>
        <w:t>animadversiones</w:t>
      </w:r>
      <w:r>
        <w:rPr>
          <w:rFonts w:ascii="Times New Roman" w:hAnsi="Times New Roman" w:cs="Times New Roman"/>
          <w:sz w:val="28"/>
          <w:szCs w:val="28"/>
        </w:rPr>
        <w:t xml:space="preserve">. La transmisión de las actas al defensor del vínculo es estrictamente funcional a la obligación, que a él le corresponde, de examinar todas las actas y producir las propias observaciones </w:t>
      </w:r>
      <w:r>
        <w:rPr>
          <w:rFonts w:ascii="Times New Roman" w:hAnsi="Times New Roman" w:cs="Times New Roman"/>
          <w:i/>
          <w:sz w:val="28"/>
          <w:szCs w:val="28"/>
        </w:rPr>
        <w:t>pro vinculo</w:t>
      </w:r>
      <w:r>
        <w:rPr>
          <w:rFonts w:ascii="Times New Roman" w:hAnsi="Times New Roman" w:cs="Times New Roman"/>
          <w:sz w:val="28"/>
          <w:szCs w:val="28"/>
        </w:rPr>
        <w:t>.</w:t>
      </w:r>
    </w:p>
    <w:p w14:paraId="0D05B7F8" w14:textId="77777777" w:rsidR="0098178D" w:rsidRDefault="0098178D" w:rsidP="00AF341F">
      <w:pPr>
        <w:jc w:val="both"/>
        <w:rPr>
          <w:rFonts w:ascii="Times New Roman" w:hAnsi="Times New Roman" w:cs="Times New Roman"/>
          <w:sz w:val="28"/>
          <w:szCs w:val="28"/>
        </w:rPr>
      </w:pPr>
    </w:p>
    <w:p w14:paraId="2F6F59FF" w14:textId="77777777" w:rsidR="0098178D" w:rsidRDefault="0098178D" w:rsidP="00AF341F">
      <w:pPr>
        <w:jc w:val="both"/>
        <w:rPr>
          <w:rFonts w:ascii="Times New Roman" w:hAnsi="Times New Roman" w:cs="Times New Roman"/>
          <w:sz w:val="28"/>
          <w:szCs w:val="28"/>
        </w:rPr>
      </w:pPr>
      <w:r>
        <w:rPr>
          <w:rFonts w:ascii="Times New Roman" w:hAnsi="Times New Roman" w:cs="Times New Roman"/>
          <w:sz w:val="28"/>
          <w:szCs w:val="28"/>
        </w:rPr>
        <w:tab/>
        <w:t>La tercera está contenida en el art. 265, §</w:t>
      </w:r>
      <w:r w:rsidR="002D651A">
        <w:rPr>
          <w:rFonts w:ascii="Times New Roman" w:hAnsi="Times New Roman" w:cs="Times New Roman"/>
          <w:sz w:val="28"/>
          <w:szCs w:val="28"/>
        </w:rPr>
        <w:t xml:space="preserve"> 3 DC. Las actas (de primera instancia, así como aquellas producidas en grado de apelación) deben estar a disposición de los jueces antes de que el Colegio emane el decreto de confirmación. No es una disposición de fácil lectura: es importante por aquello que dice y prescribe, pero es más interesante por aquello que no dice.</w:t>
      </w:r>
    </w:p>
    <w:p w14:paraId="5DDC4841" w14:textId="77777777" w:rsidR="002D651A" w:rsidRDefault="002D651A" w:rsidP="00AF341F">
      <w:pPr>
        <w:jc w:val="both"/>
        <w:rPr>
          <w:rFonts w:ascii="Times New Roman" w:hAnsi="Times New Roman" w:cs="Times New Roman"/>
          <w:sz w:val="28"/>
          <w:szCs w:val="28"/>
        </w:rPr>
      </w:pPr>
    </w:p>
    <w:p w14:paraId="66CCBD6D" w14:textId="77777777" w:rsidR="002D651A" w:rsidRDefault="002D651A" w:rsidP="00AF341F">
      <w:pPr>
        <w:jc w:val="both"/>
        <w:rPr>
          <w:rFonts w:ascii="Times New Roman" w:hAnsi="Times New Roman" w:cs="Times New Roman"/>
          <w:sz w:val="28"/>
          <w:szCs w:val="28"/>
        </w:rPr>
      </w:pPr>
      <w:r>
        <w:rPr>
          <w:rFonts w:ascii="Times New Roman" w:hAnsi="Times New Roman" w:cs="Times New Roman"/>
          <w:sz w:val="28"/>
          <w:szCs w:val="28"/>
        </w:rPr>
        <w:tab/>
        <w:t>Dice y dispone, en efecto, que las actas estén a disposición de los jueces: esto significa que no son los jueces quienes (deben) pedir que las actas estén a su disposición, sino institucionalmente, sin necesidad de instancia alguna, deben estar a disposición de ellos. Tampoco los jueces pueden de algún modo (ni en un caso específico, ni por un periodo, ni para algunos tipos de causas, ni para una cierta fase del proceso, ni por un pacto recíproco de Colegio o de Tribunal) renunciar a tener a disposición las actos bajo su propia responsabilidad.</w:t>
      </w:r>
    </w:p>
    <w:p w14:paraId="578BFA4E" w14:textId="77777777" w:rsidR="002D651A" w:rsidRDefault="002D651A" w:rsidP="00AF341F">
      <w:pPr>
        <w:jc w:val="both"/>
        <w:rPr>
          <w:rFonts w:ascii="Times New Roman" w:hAnsi="Times New Roman" w:cs="Times New Roman"/>
          <w:sz w:val="28"/>
          <w:szCs w:val="28"/>
        </w:rPr>
      </w:pPr>
    </w:p>
    <w:p w14:paraId="300E57E8" w14:textId="77777777" w:rsidR="00F70CF2" w:rsidRDefault="002D651A" w:rsidP="00AF341F">
      <w:pPr>
        <w:jc w:val="both"/>
        <w:rPr>
          <w:rFonts w:ascii="Times New Roman" w:hAnsi="Times New Roman" w:cs="Times New Roman"/>
          <w:sz w:val="28"/>
          <w:szCs w:val="28"/>
        </w:rPr>
      </w:pPr>
      <w:r>
        <w:rPr>
          <w:rFonts w:ascii="Times New Roman" w:hAnsi="Times New Roman" w:cs="Times New Roman"/>
          <w:sz w:val="28"/>
          <w:szCs w:val="28"/>
        </w:rPr>
        <w:tab/>
        <w:t xml:space="preserve">El art. 265, § 3 dice que las actas </w:t>
      </w:r>
    </w:p>
    <w:p w14:paraId="314F2364" w14:textId="77777777" w:rsidR="00F70CF2" w:rsidRDefault="00F70CF2" w:rsidP="00AF341F">
      <w:pPr>
        <w:jc w:val="both"/>
        <w:rPr>
          <w:rFonts w:ascii="Times New Roman" w:hAnsi="Times New Roman" w:cs="Times New Roman"/>
          <w:sz w:val="28"/>
          <w:szCs w:val="28"/>
        </w:rPr>
      </w:pPr>
    </w:p>
    <w:p w14:paraId="440D9170" w14:textId="77777777" w:rsidR="002D651A" w:rsidRDefault="00F70CF2" w:rsidP="00F70CF2">
      <w:pPr>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2D651A">
        <w:rPr>
          <w:rFonts w:ascii="Times New Roman" w:hAnsi="Times New Roman" w:cs="Times New Roman"/>
          <w:i/>
          <w:sz w:val="28"/>
          <w:szCs w:val="28"/>
        </w:rPr>
        <w:t>deben ser transmitidas a cada uno de los jueces</w:t>
      </w:r>
      <w:r w:rsidR="002D651A">
        <w:rPr>
          <w:rFonts w:ascii="Times New Roman" w:hAnsi="Times New Roman" w:cs="Times New Roman"/>
          <w:sz w:val="28"/>
          <w:szCs w:val="28"/>
        </w:rPr>
        <w:t>: Se impone el decreto respectivo para el envío de las actas al defensor del vínculo. No se dice lo mismo de los jueces</w:t>
      </w:r>
      <w:r>
        <w:rPr>
          <w:rFonts w:ascii="Times New Roman" w:hAnsi="Times New Roman" w:cs="Times New Roman"/>
          <w:sz w:val="28"/>
          <w:szCs w:val="28"/>
        </w:rPr>
        <w:t xml:space="preserve">. </w:t>
      </w:r>
      <w:r w:rsidR="002D651A">
        <w:rPr>
          <w:rFonts w:ascii="Times New Roman" w:hAnsi="Times New Roman" w:cs="Times New Roman"/>
          <w:sz w:val="28"/>
          <w:szCs w:val="28"/>
        </w:rPr>
        <w:t>Existe un rol diverso y una distinta posición de hecho de los jueces respecto al defensor del vínculo: puesto que éste último es parte y normalmente no es estable ante el tribunal, tiene ma</w:t>
      </w:r>
      <w:r>
        <w:rPr>
          <w:rFonts w:ascii="Times New Roman" w:hAnsi="Times New Roman" w:cs="Times New Roman"/>
          <w:sz w:val="28"/>
          <w:szCs w:val="28"/>
        </w:rPr>
        <w:t>yor necesidad de la transmisión, entendida en sentido físico, de las actas; los jueces, en cambio, están en el tribunal y tiene fácilmente acceso a las actas allí depositadas.</w:t>
      </w:r>
    </w:p>
    <w:p w14:paraId="579154EC" w14:textId="77777777" w:rsidR="00F70CF2" w:rsidRDefault="00F70CF2" w:rsidP="00F70CF2">
      <w:pPr>
        <w:ind w:firstLine="708"/>
        <w:jc w:val="both"/>
        <w:rPr>
          <w:rFonts w:ascii="Times New Roman" w:hAnsi="Times New Roman" w:cs="Times New Roman"/>
          <w:sz w:val="28"/>
          <w:szCs w:val="28"/>
        </w:rPr>
      </w:pPr>
    </w:p>
    <w:p w14:paraId="7D73B666" w14:textId="77777777" w:rsidR="00F70CF2" w:rsidRDefault="00F70CF2" w:rsidP="00F70CF2">
      <w:pPr>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deben ser examinadas por los jueces</w:t>
      </w:r>
      <w:r>
        <w:rPr>
          <w:rFonts w:ascii="Times New Roman" w:hAnsi="Times New Roman" w:cs="Times New Roman"/>
          <w:sz w:val="28"/>
          <w:szCs w:val="28"/>
        </w:rPr>
        <w:t xml:space="preserve">: premisa para el examen de las actas por parte de los jueces es que las actas estén disponibles, mientras </w:t>
      </w:r>
      <w:r>
        <w:rPr>
          <w:rFonts w:ascii="Times New Roman" w:hAnsi="Times New Roman" w:cs="Times New Roman"/>
          <w:sz w:val="28"/>
          <w:szCs w:val="28"/>
        </w:rPr>
        <w:lastRenderedPageBreak/>
        <w:t>no es consecuencia necesaria de la disponibilidad de las actas el examen de las mismas por parte de los jueces.</w:t>
      </w:r>
    </w:p>
    <w:p w14:paraId="5B2970FF" w14:textId="77777777" w:rsidR="00F70CF2" w:rsidRDefault="00F70CF2" w:rsidP="00F70CF2">
      <w:pPr>
        <w:ind w:firstLine="708"/>
        <w:jc w:val="both"/>
        <w:rPr>
          <w:rFonts w:ascii="Times New Roman" w:hAnsi="Times New Roman" w:cs="Times New Roman"/>
          <w:sz w:val="28"/>
          <w:szCs w:val="28"/>
        </w:rPr>
      </w:pPr>
    </w:p>
    <w:p w14:paraId="5FE0CFE9" w14:textId="77777777" w:rsidR="00F70CF2" w:rsidRDefault="00F70CF2" w:rsidP="00F70CF2">
      <w:pPr>
        <w:ind w:firstLine="708"/>
        <w:jc w:val="both"/>
        <w:rPr>
          <w:rFonts w:ascii="Times New Roman" w:hAnsi="Times New Roman" w:cs="Times New Roman"/>
          <w:sz w:val="28"/>
          <w:szCs w:val="28"/>
        </w:rPr>
      </w:pPr>
      <w:r>
        <w:rPr>
          <w:rFonts w:ascii="Times New Roman" w:hAnsi="Times New Roman" w:cs="Times New Roman"/>
          <w:sz w:val="28"/>
          <w:szCs w:val="28"/>
        </w:rPr>
        <w:t>Las actas de primer grado transmitidas deben ponerse realmente a disposición de todos. Una obligación explícita de examinar las actas esta prevista solamente el algunos casos:</w:t>
      </w:r>
    </w:p>
    <w:p w14:paraId="4E94FF5A" w14:textId="77777777" w:rsidR="00F70CF2" w:rsidRDefault="00F70CF2" w:rsidP="00F70CF2">
      <w:pPr>
        <w:ind w:firstLine="708"/>
        <w:jc w:val="both"/>
        <w:rPr>
          <w:rFonts w:ascii="Times New Roman" w:hAnsi="Times New Roman" w:cs="Times New Roman"/>
          <w:sz w:val="28"/>
          <w:szCs w:val="28"/>
        </w:rPr>
      </w:pPr>
    </w:p>
    <w:p w14:paraId="4514F424" w14:textId="77777777" w:rsidR="00F70CF2" w:rsidRDefault="00F70CF2" w:rsidP="00F70CF2">
      <w:pPr>
        <w:ind w:firstLine="708"/>
        <w:jc w:val="both"/>
        <w:rPr>
          <w:rFonts w:ascii="Times New Roman" w:hAnsi="Times New Roman" w:cs="Times New Roman"/>
          <w:sz w:val="28"/>
          <w:szCs w:val="28"/>
        </w:rPr>
      </w:pPr>
      <w:r>
        <w:rPr>
          <w:rFonts w:ascii="Times New Roman" w:hAnsi="Times New Roman" w:cs="Times New Roman"/>
          <w:sz w:val="28"/>
          <w:szCs w:val="28"/>
        </w:rPr>
        <w:t xml:space="preserve">- por parte del defensor del vínculo, al que le son transmitidas las actas mediante decreto, y al que corresponde la obligación de </w:t>
      </w:r>
      <w:r>
        <w:rPr>
          <w:rFonts w:ascii="Times New Roman" w:hAnsi="Times New Roman" w:cs="Times New Roman"/>
          <w:i/>
          <w:sz w:val="28"/>
          <w:szCs w:val="28"/>
        </w:rPr>
        <w:t>animadvertere por vinculo</w:t>
      </w:r>
      <w:r>
        <w:rPr>
          <w:rFonts w:ascii="Times New Roman" w:hAnsi="Times New Roman" w:cs="Times New Roman"/>
          <w:sz w:val="28"/>
          <w:szCs w:val="28"/>
        </w:rPr>
        <w:t>;</w:t>
      </w:r>
    </w:p>
    <w:p w14:paraId="4FE6D7C1" w14:textId="77777777" w:rsidR="00F70CF2" w:rsidRDefault="00F70CF2" w:rsidP="00F70CF2">
      <w:pPr>
        <w:ind w:firstLine="708"/>
        <w:jc w:val="both"/>
        <w:rPr>
          <w:rFonts w:ascii="Times New Roman" w:hAnsi="Times New Roman" w:cs="Times New Roman"/>
          <w:sz w:val="28"/>
          <w:szCs w:val="28"/>
        </w:rPr>
      </w:pPr>
    </w:p>
    <w:p w14:paraId="65EFD64F" w14:textId="77777777" w:rsidR="00F70CF2" w:rsidRDefault="00F70CF2" w:rsidP="00F70CF2">
      <w:pPr>
        <w:ind w:firstLine="708"/>
        <w:jc w:val="both"/>
        <w:rPr>
          <w:rFonts w:ascii="Times New Roman" w:hAnsi="Times New Roman" w:cs="Times New Roman"/>
          <w:sz w:val="28"/>
          <w:szCs w:val="28"/>
        </w:rPr>
      </w:pPr>
      <w:r>
        <w:rPr>
          <w:rFonts w:ascii="Times New Roman" w:hAnsi="Times New Roman" w:cs="Times New Roman"/>
          <w:sz w:val="28"/>
          <w:szCs w:val="28"/>
        </w:rPr>
        <w:t xml:space="preserve">- por parte de los jueces en el caso de que el defensor del vínculo y/o las partes presenten </w:t>
      </w:r>
      <w:r>
        <w:rPr>
          <w:rFonts w:ascii="Times New Roman" w:hAnsi="Times New Roman" w:cs="Times New Roman"/>
          <w:i/>
          <w:sz w:val="28"/>
          <w:szCs w:val="28"/>
        </w:rPr>
        <w:t>animadversiones</w:t>
      </w:r>
      <w:r>
        <w:rPr>
          <w:rFonts w:ascii="Times New Roman" w:hAnsi="Times New Roman" w:cs="Times New Roman"/>
          <w:sz w:val="28"/>
          <w:szCs w:val="28"/>
        </w:rPr>
        <w:t xml:space="preserve"> a la sentencia en referencia directa o indirecta a las actas: la obligación de responder en el decreto de confirmación a tales </w:t>
      </w:r>
      <w:r>
        <w:rPr>
          <w:rFonts w:ascii="Times New Roman" w:hAnsi="Times New Roman" w:cs="Times New Roman"/>
          <w:i/>
          <w:sz w:val="28"/>
          <w:szCs w:val="28"/>
        </w:rPr>
        <w:t>animadversiones</w:t>
      </w:r>
      <w:r>
        <w:rPr>
          <w:rFonts w:ascii="Times New Roman" w:hAnsi="Times New Roman" w:cs="Times New Roman"/>
          <w:sz w:val="28"/>
          <w:szCs w:val="28"/>
        </w:rPr>
        <w:t xml:space="preserve"> no puede comportar sino el examen de las actas por parte de cada uno de los jueces del Colegio.</w:t>
      </w:r>
    </w:p>
    <w:p w14:paraId="3CFD94AD" w14:textId="77777777" w:rsidR="00F70CF2" w:rsidRDefault="00F70CF2" w:rsidP="00F70CF2">
      <w:pPr>
        <w:jc w:val="both"/>
        <w:rPr>
          <w:rFonts w:ascii="Times New Roman" w:hAnsi="Times New Roman" w:cs="Times New Roman"/>
          <w:sz w:val="28"/>
          <w:szCs w:val="28"/>
        </w:rPr>
      </w:pPr>
    </w:p>
    <w:p w14:paraId="673D93FA" w14:textId="77777777" w:rsidR="00F70CF2" w:rsidRDefault="00F70CF2" w:rsidP="00F70CF2">
      <w:pPr>
        <w:jc w:val="both"/>
        <w:rPr>
          <w:rFonts w:ascii="Times New Roman" w:hAnsi="Times New Roman" w:cs="Times New Roman"/>
          <w:b/>
          <w:sz w:val="28"/>
          <w:szCs w:val="28"/>
        </w:rPr>
      </w:pPr>
      <w:r>
        <w:rPr>
          <w:rFonts w:ascii="Times New Roman" w:hAnsi="Times New Roman" w:cs="Times New Roman"/>
          <w:b/>
          <w:sz w:val="28"/>
          <w:szCs w:val="28"/>
        </w:rPr>
        <w:t>3. Decreto de confirmación</w:t>
      </w:r>
    </w:p>
    <w:p w14:paraId="4062C393" w14:textId="77777777" w:rsidR="00F70CF2" w:rsidRDefault="00F70CF2" w:rsidP="00F70CF2">
      <w:pPr>
        <w:jc w:val="both"/>
        <w:rPr>
          <w:rFonts w:ascii="Times New Roman" w:hAnsi="Times New Roman" w:cs="Times New Roman"/>
          <w:b/>
          <w:sz w:val="28"/>
          <w:szCs w:val="28"/>
        </w:rPr>
      </w:pPr>
    </w:p>
    <w:p w14:paraId="27F5AB81" w14:textId="77777777" w:rsidR="00F70CF2" w:rsidRDefault="00F70CF2" w:rsidP="00F70CF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Objeto del decreto de confirmación son las decisiones afirmativas emitidas en el juicio precedente de primer grado:</w:t>
      </w:r>
    </w:p>
    <w:p w14:paraId="16C14A2F" w14:textId="77777777" w:rsidR="00F70CF2" w:rsidRDefault="00F70CF2" w:rsidP="00F70CF2">
      <w:pPr>
        <w:jc w:val="both"/>
        <w:rPr>
          <w:rFonts w:ascii="Times New Roman" w:hAnsi="Times New Roman" w:cs="Times New Roman"/>
          <w:sz w:val="28"/>
          <w:szCs w:val="28"/>
        </w:rPr>
      </w:pPr>
    </w:p>
    <w:p w14:paraId="1047AA25" w14:textId="77777777" w:rsidR="00F70CF2" w:rsidRDefault="00F70CF2" w:rsidP="00F70CF2">
      <w:pPr>
        <w:jc w:val="both"/>
        <w:rPr>
          <w:rFonts w:ascii="Times New Roman" w:hAnsi="Times New Roman" w:cs="Times New Roman"/>
          <w:sz w:val="28"/>
          <w:szCs w:val="28"/>
        </w:rPr>
      </w:pPr>
      <w:r>
        <w:rPr>
          <w:rFonts w:ascii="Times New Roman" w:hAnsi="Times New Roman" w:cs="Times New Roman"/>
          <w:sz w:val="28"/>
          <w:szCs w:val="28"/>
        </w:rPr>
        <w:tab/>
        <w:t>- sin son más de un capítulo de nulidad decididos afirmativamente en primer grado, el decreto de confirmación puede decidir sobre todos o sobre algunos, o al menos uno,</w:t>
      </w:r>
      <w:r w:rsidR="005C321E">
        <w:rPr>
          <w:rFonts w:ascii="Times New Roman" w:hAnsi="Times New Roman" w:cs="Times New Roman"/>
          <w:sz w:val="28"/>
          <w:szCs w:val="28"/>
        </w:rPr>
        <w:t xml:space="preserve"> sin poder decidir de los otros (art. 265, § 6 DC);</w:t>
      </w:r>
    </w:p>
    <w:p w14:paraId="28570258" w14:textId="77777777" w:rsidR="005C321E" w:rsidRDefault="005C321E" w:rsidP="00F70CF2">
      <w:pPr>
        <w:jc w:val="both"/>
        <w:rPr>
          <w:rFonts w:ascii="Times New Roman" w:hAnsi="Times New Roman" w:cs="Times New Roman"/>
          <w:sz w:val="28"/>
          <w:szCs w:val="28"/>
        </w:rPr>
      </w:pPr>
    </w:p>
    <w:p w14:paraId="2D01A696" w14:textId="77777777" w:rsidR="005C321E" w:rsidRDefault="005C321E" w:rsidP="00F70CF2">
      <w:pPr>
        <w:jc w:val="both"/>
        <w:rPr>
          <w:rFonts w:ascii="Times New Roman" w:hAnsi="Times New Roman" w:cs="Times New Roman"/>
          <w:sz w:val="28"/>
          <w:szCs w:val="28"/>
        </w:rPr>
      </w:pPr>
      <w:r>
        <w:rPr>
          <w:rFonts w:ascii="Times New Roman" w:hAnsi="Times New Roman" w:cs="Times New Roman"/>
          <w:sz w:val="28"/>
          <w:szCs w:val="28"/>
        </w:rPr>
        <w:tab/>
        <w:t>- si son varios capítulos de nulidad, algunos decididos afirmativamente, otros negativamente en primer grado, el decreto de confirmación toma en consideración sólo los capítulos decididos afirmativamente.</w:t>
      </w:r>
    </w:p>
    <w:p w14:paraId="3360A04F" w14:textId="77777777" w:rsidR="005C321E" w:rsidRDefault="005C321E" w:rsidP="00F70CF2">
      <w:pPr>
        <w:jc w:val="both"/>
        <w:rPr>
          <w:rFonts w:ascii="Times New Roman" w:hAnsi="Times New Roman" w:cs="Times New Roman"/>
          <w:sz w:val="28"/>
          <w:szCs w:val="28"/>
        </w:rPr>
      </w:pPr>
    </w:p>
    <w:p w14:paraId="1CF2CC0C" w14:textId="77777777" w:rsidR="005C321E" w:rsidRDefault="005C321E" w:rsidP="00F70CF2">
      <w:pPr>
        <w:jc w:val="both"/>
        <w:rPr>
          <w:rFonts w:ascii="Times New Roman" w:hAnsi="Times New Roman" w:cs="Times New Roman"/>
          <w:sz w:val="28"/>
          <w:szCs w:val="28"/>
        </w:rPr>
      </w:pPr>
      <w:r>
        <w:rPr>
          <w:rFonts w:ascii="Times New Roman" w:hAnsi="Times New Roman" w:cs="Times New Roman"/>
          <w:sz w:val="28"/>
          <w:szCs w:val="28"/>
        </w:rPr>
        <w:tab/>
        <w:t>El decreto debe ser motivado. Esto se requiere para la validez. DC ha acentuado este requisito de la naturaleza del decreto de confirmación a través de dos prescripciones:</w:t>
      </w:r>
    </w:p>
    <w:p w14:paraId="298A9791" w14:textId="77777777" w:rsidR="005C321E" w:rsidRDefault="005C321E" w:rsidP="00F70CF2">
      <w:pPr>
        <w:jc w:val="both"/>
        <w:rPr>
          <w:rFonts w:ascii="Times New Roman" w:hAnsi="Times New Roman" w:cs="Times New Roman"/>
          <w:sz w:val="28"/>
          <w:szCs w:val="28"/>
        </w:rPr>
      </w:pPr>
    </w:p>
    <w:p w14:paraId="44E559C9" w14:textId="77777777" w:rsidR="005C321E" w:rsidRDefault="005C321E" w:rsidP="00F70CF2">
      <w:pPr>
        <w:jc w:val="both"/>
        <w:rPr>
          <w:rFonts w:ascii="Times New Roman" w:hAnsi="Times New Roman" w:cs="Times New Roman"/>
          <w:sz w:val="28"/>
          <w:szCs w:val="28"/>
        </w:rPr>
      </w:pPr>
      <w:r>
        <w:rPr>
          <w:rFonts w:ascii="Times New Roman" w:hAnsi="Times New Roman" w:cs="Times New Roman"/>
          <w:sz w:val="28"/>
          <w:szCs w:val="28"/>
        </w:rPr>
        <w:tab/>
        <w:t>- la primera se refiere al hecho de que de la alternativa que el can. 1617 permite expresar los motivos (al menos sumariamente, o que remita a los motivos expresados en otro acto);</w:t>
      </w:r>
    </w:p>
    <w:p w14:paraId="2DB25222" w14:textId="77777777" w:rsidR="005C321E" w:rsidRDefault="005C321E" w:rsidP="00F70CF2">
      <w:pPr>
        <w:jc w:val="both"/>
        <w:rPr>
          <w:rFonts w:ascii="Times New Roman" w:hAnsi="Times New Roman" w:cs="Times New Roman"/>
          <w:sz w:val="28"/>
          <w:szCs w:val="28"/>
        </w:rPr>
      </w:pPr>
    </w:p>
    <w:p w14:paraId="2D059B39" w14:textId="77777777" w:rsidR="005C321E" w:rsidRDefault="005C321E" w:rsidP="00F70CF2">
      <w:pPr>
        <w:jc w:val="both"/>
        <w:rPr>
          <w:rFonts w:ascii="Times New Roman" w:hAnsi="Times New Roman" w:cs="Times New Roman"/>
          <w:sz w:val="28"/>
          <w:szCs w:val="28"/>
        </w:rPr>
      </w:pPr>
      <w:r>
        <w:rPr>
          <w:rFonts w:ascii="Times New Roman" w:hAnsi="Times New Roman" w:cs="Times New Roman"/>
          <w:sz w:val="28"/>
          <w:szCs w:val="28"/>
        </w:rPr>
        <w:tab/>
        <w:t xml:space="preserve">- la otra se refiere al hecho que impone al juez responder en el decreto de confirmación a las </w:t>
      </w:r>
      <w:r>
        <w:rPr>
          <w:rFonts w:ascii="Times New Roman" w:hAnsi="Times New Roman" w:cs="Times New Roman"/>
          <w:i/>
          <w:sz w:val="28"/>
          <w:szCs w:val="28"/>
        </w:rPr>
        <w:t>animadversiones</w:t>
      </w:r>
      <w:r>
        <w:rPr>
          <w:rFonts w:ascii="Times New Roman" w:hAnsi="Times New Roman" w:cs="Times New Roman"/>
          <w:sz w:val="28"/>
          <w:szCs w:val="28"/>
        </w:rPr>
        <w:t xml:space="preserve"> del defensor del vínculo y, si las hubiera, también a la de las partes.</w:t>
      </w:r>
    </w:p>
    <w:p w14:paraId="4B20AE60" w14:textId="77777777" w:rsidR="005C321E" w:rsidRDefault="005C321E" w:rsidP="00F70CF2">
      <w:pPr>
        <w:jc w:val="both"/>
        <w:rPr>
          <w:rFonts w:ascii="Times New Roman" w:hAnsi="Times New Roman" w:cs="Times New Roman"/>
          <w:sz w:val="28"/>
          <w:szCs w:val="28"/>
        </w:rPr>
      </w:pPr>
    </w:p>
    <w:p w14:paraId="3FCE7C74" w14:textId="77777777" w:rsidR="005C321E" w:rsidRDefault="005C321E" w:rsidP="00F70CF2">
      <w:pPr>
        <w:jc w:val="both"/>
        <w:rPr>
          <w:rFonts w:ascii="Times New Roman" w:hAnsi="Times New Roman" w:cs="Times New Roman"/>
          <w:i/>
          <w:sz w:val="28"/>
          <w:szCs w:val="28"/>
        </w:rPr>
      </w:pPr>
      <w:r>
        <w:rPr>
          <w:rFonts w:ascii="Times New Roman" w:hAnsi="Times New Roman" w:cs="Times New Roman"/>
          <w:sz w:val="28"/>
          <w:szCs w:val="28"/>
        </w:rPr>
        <w:lastRenderedPageBreak/>
        <w:tab/>
        <w:t xml:space="preserve">Ambas especificaciones está relacionada con el </w:t>
      </w:r>
      <w:r>
        <w:rPr>
          <w:rFonts w:ascii="Times New Roman" w:hAnsi="Times New Roman" w:cs="Times New Roman"/>
          <w:i/>
          <w:sz w:val="28"/>
          <w:szCs w:val="28"/>
        </w:rPr>
        <w:t>ius defensionis.</w:t>
      </w:r>
    </w:p>
    <w:p w14:paraId="6F895756" w14:textId="77777777" w:rsidR="005C321E" w:rsidRDefault="005C321E" w:rsidP="00F70CF2">
      <w:pPr>
        <w:jc w:val="both"/>
        <w:rPr>
          <w:rFonts w:ascii="Times New Roman" w:hAnsi="Times New Roman" w:cs="Times New Roman"/>
          <w:i/>
          <w:sz w:val="28"/>
          <w:szCs w:val="28"/>
        </w:rPr>
      </w:pPr>
    </w:p>
    <w:p w14:paraId="02E87F59" w14:textId="77777777" w:rsidR="005C321E" w:rsidRDefault="005C321E" w:rsidP="00F70CF2">
      <w:pPr>
        <w:jc w:val="both"/>
        <w:rPr>
          <w:rFonts w:ascii="Times New Roman" w:hAnsi="Times New Roman" w:cs="Times New Roman"/>
          <w:sz w:val="28"/>
          <w:szCs w:val="28"/>
        </w:rPr>
      </w:pPr>
      <w:r>
        <w:rPr>
          <w:rFonts w:ascii="Times New Roman" w:hAnsi="Times New Roman" w:cs="Times New Roman"/>
          <w:sz w:val="28"/>
          <w:szCs w:val="28"/>
        </w:rPr>
        <w:tab/>
        <w:t>En el primer caso, la instrucción especifica y explicita aquello que ya era verdad para la doctrina y la jurisprudencia, aunque a través de un complejo razonamiento interpretativo: los motivos se requieren para la validez del decreto, asegurando de este modo la aplicabilidad plena del decreto de confirmación de la prescripción del can. 1622, 2°.</w:t>
      </w:r>
    </w:p>
    <w:p w14:paraId="2C6A2B9C" w14:textId="77777777" w:rsidR="005C321E" w:rsidRDefault="005C321E" w:rsidP="00F70CF2">
      <w:pPr>
        <w:jc w:val="both"/>
        <w:rPr>
          <w:rFonts w:ascii="Times New Roman" w:hAnsi="Times New Roman" w:cs="Times New Roman"/>
          <w:sz w:val="28"/>
          <w:szCs w:val="28"/>
        </w:rPr>
      </w:pPr>
    </w:p>
    <w:p w14:paraId="0017D4F2" w14:textId="77777777" w:rsidR="005C321E" w:rsidRDefault="005C321E" w:rsidP="00F70CF2">
      <w:pPr>
        <w:jc w:val="both"/>
        <w:rPr>
          <w:rFonts w:ascii="Times New Roman" w:hAnsi="Times New Roman" w:cs="Times New Roman"/>
          <w:sz w:val="28"/>
          <w:szCs w:val="28"/>
        </w:rPr>
      </w:pPr>
      <w:r>
        <w:rPr>
          <w:rFonts w:ascii="Times New Roman" w:hAnsi="Times New Roman" w:cs="Times New Roman"/>
          <w:sz w:val="28"/>
          <w:szCs w:val="28"/>
        </w:rPr>
        <w:tab/>
        <w:t xml:space="preserve">En el segundo caso, con una intervención clara, la instrucción obliga a motivar el rechazo de las </w:t>
      </w:r>
      <w:r>
        <w:rPr>
          <w:rFonts w:ascii="Times New Roman" w:hAnsi="Times New Roman" w:cs="Times New Roman"/>
          <w:i/>
          <w:sz w:val="28"/>
          <w:szCs w:val="28"/>
        </w:rPr>
        <w:t>animadversiones</w:t>
      </w:r>
      <w:r w:rsidR="00562549">
        <w:rPr>
          <w:rFonts w:ascii="Times New Roman" w:hAnsi="Times New Roman" w:cs="Times New Roman"/>
          <w:sz w:val="28"/>
          <w:szCs w:val="28"/>
        </w:rPr>
        <w:t xml:space="preserve"> del defensor del vínculo y de las partes, si las hubiera.</w:t>
      </w:r>
    </w:p>
    <w:p w14:paraId="2D510728" w14:textId="77777777" w:rsidR="00562549" w:rsidRDefault="00562549" w:rsidP="00F70CF2">
      <w:pPr>
        <w:jc w:val="both"/>
        <w:rPr>
          <w:rFonts w:ascii="Times New Roman" w:hAnsi="Times New Roman" w:cs="Times New Roman"/>
          <w:sz w:val="28"/>
          <w:szCs w:val="28"/>
        </w:rPr>
      </w:pPr>
    </w:p>
    <w:p w14:paraId="188C48B3" w14:textId="77777777" w:rsidR="00562549" w:rsidRDefault="00562549" w:rsidP="00F70CF2">
      <w:pPr>
        <w:jc w:val="both"/>
        <w:rPr>
          <w:rFonts w:ascii="Times New Roman" w:hAnsi="Times New Roman" w:cs="Times New Roman"/>
          <w:sz w:val="28"/>
          <w:szCs w:val="28"/>
        </w:rPr>
      </w:pPr>
      <w:r>
        <w:rPr>
          <w:rFonts w:ascii="Times New Roman" w:hAnsi="Times New Roman" w:cs="Times New Roman"/>
          <w:sz w:val="28"/>
          <w:szCs w:val="28"/>
        </w:rPr>
        <w:tab/>
        <w:t>La fuerza de la disposición emerge de algunas anotaciones:</w:t>
      </w:r>
    </w:p>
    <w:p w14:paraId="58CDC0DC" w14:textId="77777777" w:rsidR="00562549" w:rsidRDefault="00562549" w:rsidP="00F70CF2">
      <w:pPr>
        <w:jc w:val="both"/>
        <w:rPr>
          <w:rFonts w:ascii="Times New Roman" w:hAnsi="Times New Roman" w:cs="Times New Roman"/>
          <w:sz w:val="28"/>
          <w:szCs w:val="28"/>
        </w:rPr>
      </w:pPr>
    </w:p>
    <w:p w14:paraId="686C9CD9" w14:textId="77777777" w:rsidR="00562549" w:rsidRDefault="00562549" w:rsidP="00F70CF2">
      <w:pPr>
        <w:jc w:val="both"/>
        <w:rPr>
          <w:rFonts w:ascii="Times New Roman" w:hAnsi="Times New Roman" w:cs="Times New Roman"/>
          <w:sz w:val="28"/>
          <w:szCs w:val="28"/>
        </w:rPr>
      </w:pPr>
      <w:r>
        <w:rPr>
          <w:rFonts w:ascii="Times New Roman" w:hAnsi="Times New Roman" w:cs="Times New Roman"/>
          <w:sz w:val="28"/>
          <w:szCs w:val="28"/>
        </w:rPr>
        <w:tab/>
        <w:t xml:space="preserve">- el Código y la misma instrucción ni siquiera para la sentencia prescriben tal obligación, es decir, que el juez responda en ella a las </w:t>
      </w:r>
      <w:r>
        <w:rPr>
          <w:rFonts w:ascii="Times New Roman" w:hAnsi="Times New Roman" w:cs="Times New Roman"/>
          <w:i/>
          <w:sz w:val="28"/>
          <w:szCs w:val="28"/>
        </w:rPr>
        <w:t>animadversiones</w:t>
      </w:r>
      <w:r>
        <w:rPr>
          <w:rFonts w:ascii="Times New Roman" w:hAnsi="Times New Roman" w:cs="Times New Roman"/>
          <w:sz w:val="28"/>
          <w:szCs w:val="28"/>
        </w:rPr>
        <w:t xml:space="preserve"> de cualquiera de ellos, salvo la prescripción del can. 1579;</w:t>
      </w:r>
    </w:p>
    <w:p w14:paraId="29CA2460" w14:textId="77777777" w:rsidR="00562549" w:rsidRDefault="00562549" w:rsidP="00F70CF2">
      <w:pPr>
        <w:jc w:val="both"/>
        <w:rPr>
          <w:rFonts w:ascii="Times New Roman" w:hAnsi="Times New Roman" w:cs="Times New Roman"/>
          <w:sz w:val="28"/>
          <w:szCs w:val="28"/>
        </w:rPr>
      </w:pPr>
    </w:p>
    <w:p w14:paraId="4AE22DCC" w14:textId="77777777" w:rsidR="00562549" w:rsidRDefault="00562549" w:rsidP="00F70CF2">
      <w:pPr>
        <w:jc w:val="both"/>
        <w:rPr>
          <w:rFonts w:ascii="Times New Roman" w:hAnsi="Times New Roman" w:cs="Times New Roman"/>
          <w:sz w:val="28"/>
          <w:szCs w:val="28"/>
        </w:rPr>
      </w:pPr>
      <w:r>
        <w:rPr>
          <w:rFonts w:ascii="Times New Roman" w:hAnsi="Times New Roman" w:cs="Times New Roman"/>
          <w:sz w:val="28"/>
          <w:szCs w:val="28"/>
        </w:rPr>
        <w:tab/>
        <w:t xml:space="preserve">- La disposición prevé una excepción (“si casus ferat”) en cuanto a las </w:t>
      </w:r>
      <w:r>
        <w:rPr>
          <w:rFonts w:ascii="Times New Roman" w:hAnsi="Times New Roman" w:cs="Times New Roman"/>
          <w:i/>
          <w:sz w:val="28"/>
          <w:szCs w:val="28"/>
        </w:rPr>
        <w:t>animadversiones partium</w:t>
      </w:r>
      <w:r>
        <w:rPr>
          <w:rFonts w:ascii="Times New Roman" w:hAnsi="Times New Roman" w:cs="Times New Roman"/>
          <w:sz w:val="28"/>
          <w:szCs w:val="28"/>
        </w:rPr>
        <w:t>, que podría no haberlas.</w:t>
      </w:r>
    </w:p>
    <w:p w14:paraId="47E81B51" w14:textId="77777777" w:rsidR="009A5B79" w:rsidRDefault="009A5B79" w:rsidP="00F70CF2">
      <w:pPr>
        <w:jc w:val="both"/>
        <w:rPr>
          <w:rFonts w:ascii="Times New Roman" w:hAnsi="Times New Roman" w:cs="Times New Roman"/>
          <w:sz w:val="28"/>
          <w:szCs w:val="28"/>
        </w:rPr>
      </w:pPr>
    </w:p>
    <w:p w14:paraId="07E01ED7" w14:textId="6CA3226C" w:rsidR="009A5B79" w:rsidRDefault="009A5B79" w:rsidP="00F70CF2">
      <w:pPr>
        <w:jc w:val="both"/>
        <w:rPr>
          <w:rFonts w:ascii="Times New Roman" w:hAnsi="Times New Roman" w:cs="Times New Roman"/>
          <w:b/>
          <w:sz w:val="28"/>
          <w:szCs w:val="28"/>
        </w:rPr>
      </w:pPr>
      <w:r>
        <w:rPr>
          <w:rFonts w:ascii="Times New Roman" w:hAnsi="Times New Roman" w:cs="Times New Roman"/>
          <w:b/>
          <w:sz w:val="28"/>
          <w:szCs w:val="28"/>
        </w:rPr>
        <w:t>4. Decreto de reenvío a examen ordinario</w:t>
      </w:r>
    </w:p>
    <w:p w14:paraId="2916D982" w14:textId="77777777" w:rsidR="009A5B79" w:rsidRDefault="009A5B79" w:rsidP="00F70CF2">
      <w:pPr>
        <w:jc w:val="both"/>
        <w:rPr>
          <w:rFonts w:ascii="Times New Roman" w:hAnsi="Times New Roman" w:cs="Times New Roman"/>
          <w:b/>
          <w:sz w:val="28"/>
          <w:szCs w:val="28"/>
        </w:rPr>
      </w:pPr>
    </w:p>
    <w:p w14:paraId="496C6D0A" w14:textId="105E9E57" w:rsidR="009A5B79" w:rsidRDefault="009A5B79" w:rsidP="00F70CF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El decreto de reenvío a examen ordinario también debe estar motivado.</w:t>
      </w:r>
    </w:p>
    <w:p w14:paraId="4F23180E" w14:textId="77777777" w:rsidR="009A5B79" w:rsidRDefault="009A5B79" w:rsidP="00F70CF2">
      <w:pPr>
        <w:jc w:val="both"/>
        <w:rPr>
          <w:rFonts w:ascii="Times New Roman" w:hAnsi="Times New Roman" w:cs="Times New Roman"/>
          <w:sz w:val="28"/>
          <w:szCs w:val="28"/>
        </w:rPr>
      </w:pPr>
    </w:p>
    <w:p w14:paraId="18ED2D80" w14:textId="05B5C4B4" w:rsidR="009A5B79" w:rsidRDefault="009A5B79" w:rsidP="00F70CF2">
      <w:pPr>
        <w:jc w:val="both"/>
        <w:rPr>
          <w:rFonts w:ascii="Times New Roman" w:hAnsi="Times New Roman" w:cs="Times New Roman"/>
          <w:sz w:val="28"/>
          <w:szCs w:val="28"/>
        </w:rPr>
      </w:pPr>
      <w:r>
        <w:rPr>
          <w:rFonts w:ascii="Times New Roman" w:hAnsi="Times New Roman" w:cs="Times New Roman"/>
          <w:sz w:val="28"/>
          <w:szCs w:val="28"/>
        </w:rPr>
        <w:tab/>
        <w:t xml:space="preserve">Sobre la forma del </w:t>
      </w:r>
      <w:r>
        <w:rPr>
          <w:rFonts w:ascii="Times New Roman" w:hAnsi="Times New Roman" w:cs="Times New Roman"/>
          <w:i/>
          <w:sz w:val="28"/>
          <w:szCs w:val="28"/>
        </w:rPr>
        <w:t>decreto de reenvío</w:t>
      </w:r>
      <w:r>
        <w:rPr>
          <w:rFonts w:ascii="Times New Roman" w:hAnsi="Times New Roman" w:cs="Times New Roman"/>
          <w:sz w:val="28"/>
          <w:szCs w:val="28"/>
        </w:rPr>
        <w:t xml:space="preserve"> la DC no ha recibido el doble tipo de decreto de reenvío previsto , por ej. en las </w:t>
      </w:r>
      <w:r>
        <w:rPr>
          <w:rFonts w:ascii="Times New Roman" w:hAnsi="Times New Roman" w:cs="Times New Roman"/>
          <w:i/>
          <w:sz w:val="28"/>
          <w:szCs w:val="28"/>
        </w:rPr>
        <w:t>Normae</w:t>
      </w:r>
      <w:r>
        <w:rPr>
          <w:rFonts w:ascii="Times New Roman" w:hAnsi="Times New Roman" w:cs="Times New Roman"/>
          <w:sz w:val="28"/>
          <w:szCs w:val="28"/>
        </w:rPr>
        <w:t xml:space="preserve"> vigentes de la Rota Romana.</w:t>
      </w:r>
    </w:p>
    <w:p w14:paraId="743A5755" w14:textId="77777777" w:rsidR="00127499" w:rsidRDefault="00127499" w:rsidP="00F70CF2">
      <w:pPr>
        <w:jc w:val="both"/>
        <w:rPr>
          <w:rFonts w:ascii="Times New Roman" w:hAnsi="Times New Roman" w:cs="Times New Roman"/>
          <w:sz w:val="28"/>
          <w:szCs w:val="28"/>
        </w:rPr>
      </w:pPr>
    </w:p>
    <w:p w14:paraId="7D353B75" w14:textId="3241E94D" w:rsidR="00127499" w:rsidRDefault="00127499" w:rsidP="00F70CF2">
      <w:pPr>
        <w:jc w:val="both"/>
        <w:rPr>
          <w:rFonts w:ascii="Times New Roman" w:hAnsi="Times New Roman" w:cs="Times New Roman"/>
          <w:sz w:val="28"/>
          <w:szCs w:val="28"/>
        </w:rPr>
      </w:pPr>
      <w:r>
        <w:rPr>
          <w:rFonts w:ascii="Times New Roman" w:hAnsi="Times New Roman" w:cs="Times New Roman"/>
          <w:sz w:val="28"/>
          <w:szCs w:val="28"/>
        </w:rPr>
        <w:tab/>
        <w:t>En el primer caso de decreto de reenvío a ordinario examen, se tiene en práctica un decreto que equivale en realidad a una decisión negativa al estado de las actas.</w:t>
      </w:r>
    </w:p>
    <w:p w14:paraId="5FA40432" w14:textId="77777777" w:rsidR="00127499" w:rsidRDefault="00127499" w:rsidP="00F70CF2">
      <w:pPr>
        <w:jc w:val="both"/>
        <w:rPr>
          <w:rFonts w:ascii="Times New Roman" w:hAnsi="Times New Roman" w:cs="Times New Roman"/>
          <w:sz w:val="28"/>
          <w:szCs w:val="28"/>
        </w:rPr>
      </w:pPr>
    </w:p>
    <w:p w14:paraId="7D4C692D" w14:textId="77777777" w:rsidR="00B84C5E" w:rsidRDefault="00127499" w:rsidP="00F70CF2">
      <w:pPr>
        <w:jc w:val="both"/>
        <w:rPr>
          <w:rFonts w:ascii="Times New Roman" w:hAnsi="Times New Roman" w:cs="Times New Roman"/>
          <w:sz w:val="28"/>
          <w:szCs w:val="28"/>
        </w:rPr>
      </w:pPr>
      <w:r>
        <w:rPr>
          <w:rFonts w:ascii="Times New Roman" w:hAnsi="Times New Roman" w:cs="Times New Roman"/>
          <w:sz w:val="28"/>
          <w:szCs w:val="28"/>
        </w:rPr>
        <w:tab/>
        <w:t>En el segundo caso de decreto de reenvío, en cambio, la instrucción de la causa debe ser ya indicada, casi</w:t>
      </w:r>
      <w:r w:rsidR="00B84C5E">
        <w:rPr>
          <w:rFonts w:ascii="Times New Roman" w:hAnsi="Times New Roman" w:cs="Times New Roman"/>
          <w:sz w:val="28"/>
          <w:szCs w:val="28"/>
        </w:rPr>
        <w:t xml:space="preserve"> avisando a las partes que las dificultades observadas  no son estructurales y las mismas permiten ver los remedios que ha de buscar.</w:t>
      </w:r>
    </w:p>
    <w:p w14:paraId="7E760774" w14:textId="77777777" w:rsidR="00B84C5E" w:rsidRDefault="00B84C5E" w:rsidP="00F70CF2">
      <w:pPr>
        <w:jc w:val="both"/>
        <w:rPr>
          <w:rFonts w:ascii="Times New Roman" w:hAnsi="Times New Roman" w:cs="Times New Roman"/>
          <w:sz w:val="28"/>
          <w:szCs w:val="28"/>
        </w:rPr>
      </w:pPr>
    </w:p>
    <w:p w14:paraId="3CA849F0" w14:textId="77777777" w:rsidR="00B84C5E" w:rsidRDefault="00B84C5E" w:rsidP="00F70CF2">
      <w:pPr>
        <w:jc w:val="both"/>
        <w:rPr>
          <w:rFonts w:ascii="Times New Roman" w:hAnsi="Times New Roman" w:cs="Times New Roman"/>
          <w:b/>
          <w:sz w:val="28"/>
          <w:szCs w:val="28"/>
        </w:rPr>
      </w:pPr>
      <w:r>
        <w:rPr>
          <w:rFonts w:ascii="Times New Roman" w:hAnsi="Times New Roman" w:cs="Times New Roman"/>
          <w:b/>
          <w:sz w:val="28"/>
          <w:szCs w:val="28"/>
        </w:rPr>
        <w:t>5. El Ordinario examen después del decreto de reenvío</w:t>
      </w:r>
    </w:p>
    <w:p w14:paraId="0FE75B71" w14:textId="77777777" w:rsidR="00B84C5E" w:rsidRDefault="00B84C5E" w:rsidP="00F70CF2">
      <w:pPr>
        <w:jc w:val="both"/>
        <w:rPr>
          <w:rFonts w:ascii="Times New Roman" w:hAnsi="Times New Roman" w:cs="Times New Roman"/>
          <w:b/>
          <w:sz w:val="28"/>
          <w:szCs w:val="28"/>
        </w:rPr>
      </w:pPr>
    </w:p>
    <w:p w14:paraId="76CE7E84" w14:textId="77777777" w:rsidR="00B84C5E" w:rsidRDefault="00B84C5E" w:rsidP="00F70CF2">
      <w:pPr>
        <w:jc w:val="both"/>
        <w:rPr>
          <w:rFonts w:ascii="Times New Roman" w:hAnsi="Times New Roman" w:cs="Times New Roman"/>
          <w:sz w:val="28"/>
          <w:szCs w:val="28"/>
        </w:rPr>
      </w:pPr>
      <w:r>
        <w:rPr>
          <w:rFonts w:ascii="Times New Roman" w:hAnsi="Times New Roman" w:cs="Times New Roman"/>
          <w:b/>
          <w:sz w:val="28"/>
          <w:szCs w:val="28"/>
        </w:rPr>
        <w:lastRenderedPageBreak/>
        <w:tab/>
      </w:r>
      <w:r>
        <w:rPr>
          <w:rFonts w:ascii="Times New Roman" w:hAnsi="Times New Roman" w:cs="Times New Roman"/>
          <w:sz w:val="28"/>
          <w:szCs w:val="28"/>
        </w:rPr>
        <w:t>Se afirma explícitamente en el art. 267 DC que el estudio del ordinario examen debe realizarse según las normas del juicio contencioso ordinario para el grado de apelación (cf. can. 1640), mencionando explícitamente también la preclusión del can. 1639, § 2.</w:t>
      </w:r>
    </w:p>
    <w:p w14:paraId="100EEF13" w14:textId="77777777" w:rsidR="00B84C5E" w:rsidRDefault="00B84C5E" w:rsidP="00F70CF2">
      <w:pPr>
        <w:jc w:val="both"/>
        <w:rPr>
          <w:rFonts w:ascii="Times New Roman" w:hAnsi="Times New Roman" w:cs="Times New Roman"/>
          <w:sz w:val="28"/>
          <w:szCs w:val="28"/>
        </w:rPr>
      </w:pPr>
    </w:p>
    <w:p w14:paraId="6C318643" w14:textId="77777777" w:rsidR="00B84C5E" w:rsidRDefault="00B84C5E" w:rsidP="00F70CF2">
      <w:pPr>
        <w:jc w:val="both"/>
        <w:rPr>
          <w:rFonts w:ascii="Times New Roman" w:hAnsi="Times New Roman" w:cs="Times New Roman"/>
          <w:sz w:val="28"/>
          <w:szCs w:val="28"/>
        </w:rPr>
      </w:pPr>
      <w:r>
        <w:rPr>
          <w:rFonts w:ascii="Times New Roman" w:hAnsi="Times New Roman" w:cs="Times New Roman"/>
          <w:sz w:val="28"/>
          <w:szCs w:val="28"/>
        </w:rPr>
        <w:tab/>
        <w:t>Algunos tribunales reenviada la causa a ordinario examen, esperaban un impulso de parte, en ausencia del cual, procedían en el tiempo debido a la declaración de la perención de la causa. Esta praxis encuentra verificación en la normativa rotal vigente, según la cual después del envío de la causa a ordinario examen, el Ponente en el mismo decreto de examen ordinario establece la fórmula de dudas y los comunica a las partes.</w:t>
      </w:r>
    </w:p>
    <w:p w14:paraId="591791E6" w14:textId="77777777" w:rsidR="00B84C5E" w:rsidRDefault="00B84C5E" w:rsidP="00F70CF2">
      <w:pPr>
        <w:jc w:val="both"/>
        <w:rPr>
          <w:rFonts w:ascii="Times New Roman" w:hAnsi="Times New Roman" w:cs="Times New Roman"/>
          <w:sz w:val="28"/>
          <w:szCs w:val="28"/>
        </w:rPr>
      </w:pPr>
    </w:p>
    <w:p w14:paraId="3AF32F64" w14:textId="77777777" w:rsidR="00B84C5E" w:rsidRDefault="00B84C5E" w:rsidP="00F70CF2">
      <w:pPr>
        <w:jc w:val="both"/>
        <w:rPr>
          <w:rFonts w:ascii="Times New Roman" w:hAnsi="Times New Roman" w:cs="Times New Roman"/>
          <w:sz w:val="28"/>
          <w:szCs w:val="28"/>
        </w:rPr>
      </w:pPr>
      <w:r>
        <w:rPr>
          <w:rFonts w:ascii="Times New Roman" w:hAnsi="Times New Roman" w:cs="Times New Roman"/>
          <w:sz w:val="28"/>
          <w:szCs w:val="28"/>
        </w:rPr>
        <w:tab/>
        <w:t xml:space="preserve">La instrucción, en cambio, siguiendo la jurisprudencia de la Signatura Apostólica, quiere que, después del reenvío a ordinario examen, sea el juez </w:t>
      </w:r>
      <w:r>
        <w:rPr>
          <w:rFonts w:ascii="Times New Roman" w:hAnsi="Times New Roman" w:cs="Times New Roman"/>
          <w:i/>
          <w:sz w:val="28"/>
          <w:szCs w:val="28"/>
        </w:rPr>
        <w:t>ex officio</w:t>
      </w:r>
      <w:r>
        <w:rPr>
          <w:rFonts w:ascii="Times New Roman" w:hAnsi="Times New Roman" w:cs="Times New Roman"/>
          <w:sz w:val="28"/>
          <w:szCs w:val="28"/>
        </w:rPr>
        <w:t xml:space="preserve"> quien proceda a realizar algún acto, como el de la citación y/o la concordancia de dudas.</w:t>
      </w:r>
    </w:p>
    <w:p w14:paraId="770A65A6" w14:textId="77777777" w:rsidR="00B84C5E" w:rsidRDefault="00B84C5E" w:rsidP="00F70CF2">
      <w:pPr>
        <w:jc w:val="both"/>
        <w:rPr>
          <w:rFonts w:ascii="Times New Roman" w:hAnsi="Times New Roman" w:cs="Times New Roman"/>
          <w:sz w:val="28"/>
          <w:szCs w:val="28"/>
        </w:rPr>
      </w:pPr>
    </w:p>
    <w:p w14:paraId="1326BEC9" w14:textId="77777777" w:rsidR="00B84C5E" w:rsidRDefault="00B84C5E" w:rsidP="00F70CF2">
      <w:pPr>
        <w:jc w:val="both"/>
        <w:rPr>
          <w:rFonts w:ascii="Times New Roman" w:hAnsi="Times New Roman" w:cs="Times New Roman"/>
          <w:sz w:val="28"/>
          <w:szCs w:val="28"/>
        </w:rPr>
      </w:pPr>
      <w:r>
        <w:rPr>
          <w:rFonts w:ascii="Times New Roman" w:hAnsi="Times New Roman" w:cs="Times New Roman"/>
          <w:b/>
          <w:sz w:val="28"/>
          <w:szCs w:val="28"/>
        </w:rPr>
        <w:t xml:space="preserve">6. El Ordinario examen fuera del </w:t>
      </w:r>
      <w:r>
        <w:rPr>
          <w:rFonts w:ascii="Times New Roman" w:hAnsi="Times New Roman" w:cs="Times New Roman"/>
          <w:b/>
          <w:i/>
          <w:sz w:val="28"/>
          <w:szCs w:val="28"/>
        </w:rPr>
        <w:t>processus brevior</w:t>
      </w:r>
    </w:p>
    <w:p w14:paraId="3C8AFACA" w14:textId="77777777" w:rsidR="00B84C5E" w:rsidRDefault="00B84C5E" w:rsidP="00F70CF2">
      <w:pPr>
        <w:jc w:val="both"/>
        <w:rPr>
          <w:rFonts w:ascii="Times New Roman" w:hAnsi="Times New Roman" w:cs="Times New Roman"/>
          <w:sz w:val="28"/>
          <w:szCs w:val="28"/>
        </w:rPr>
      </w:pPr>
    </w:p>
    <w:p w14:paraId="34A8A609" w14:textId="77777777" w:rsidR="00D62370" w:rsidRDefault="00B84C5E" w:rsidP="00F70CF2">
      <w:pPr>
        <w:jc w:val="both"/>
        <w:rPr>
          <w:rFonts w:ascii="Times New Roman" w:hAnsi="Times New Roman" w:cs="Times New Roman"/>
          <w:sz w:val="28"/>
          <w:szCs w:val="28"/>
        </w:rPr>
      </w:pPr>
      <w:r>
        <w:rPr>
          <w:rFonts w:ascii="Times New Roman" w:hAnsi="Times New Roman" w:cs="Times New Roman"/>
          <w:sz w:val="28"/>
          <w:szCs w:val="28"/>
        </w:rPr>
        <w:tab/>
      </w:r>
      <w:r w:rsidR="00466E96">
        <w:rPr>
          <w:rFonts w:ascii="Times New Roman" w:hAnsi="Times New Roman" w:cs="Times New Roman"/>
          <w:sz w:val="28"/>
          <w:szCs w:val="28"/>
        </w:rPr>
        <w:t xml:space="preserve">Esta peculiar perspectiva procesal aparece coherente con una lectura interpretativa del </w:t>
      </w:r>
      <w:r w:rsidR="00466E96">
        <w:rPr>
          <w:rFonts w:ascii="Times New Roman" w:hAnsi="Times New Roman" w:cs="Times New Roman"/>
          <w:i/>
          <w:sz w:val="28"/>
          <w:szCs w:val="28"/>
        </w:rPr>
        <w:t>processus brevior</w:t>
      </w:r>
      <w:r w:rsidR="00466E96">
        <w:rPr>
          <w:rFonts w:ascii="Times New Roman" w:hAnsi="Times New Roman" w:cs="Times New Roman"/>
          <w:sz w:val="28"/>
          <w:szCs w:val="28"/>
        </w:rPr>
        <w:t xml:space="preserve"> como estudio de la causa más allá de la dinámica de la apelación, casi como si el </w:t>
      </w:r>
      <w:r w:rsidR="00466E96">
        <w:rPr>
          <w:rFonts w:ascii="Times New Roman" w:hAnsi="Times New Roman" w:cs="Times New Roman"/>
          <w:i/>
          <w:sz w:val="28"/>
          <w:szCs w:val="28"/>
        </w:rPr>
        <w:t>processus brevior</w:t>
      </w:r>
      <w:r w:rsidR="00466E96">
        <w:rPr>
          <w:rFonts w:ascii="Times New Roman" w:hAnsi="Times New Roman" w:cs="Times New Roman"/>
          <w:sz w:val="28"/>
          <w:szCs w:val="28"/>
        </w:rPr>
        <w:t xml:space="preserve"> fuera un nuevo examen de la causa para decidir si la apelación  (el proceso ordinario)</w:t>
      </w:r>
      <w:r w:rsidR="00D62370">
        <w:rPr>
          <w:rFonts w:ascii="Times New Roman" w:hAnsi="Times New Roman" w:cs="Times New Roman"/>
          <w:sz w:val="28"/>
          <w:szCs w:val="28"/>
        </w:rPr>
        <w:t xml:space="preserve"> sea o no necesario en el caso.</w:t>
      </w:r>
    </w:p>
    <w:p w14:paraId="40031E00" w14:textId="77777777" w:rsidR="00D62370" w:rsidRDefault="00D62370" w:rsidP="00F70CF2">
      <w:pPr>
        <w:jc w:val="both"/>
        <w:rPr>
          <w:rFonts w:ascii="Times New Roman" w:hAnsi="Times New Roman" w:cs="Times New Roman"/>
          <w:sz w:val="28"/>
          <w:szCs w:val="28"/>
        </w:rPr>
      </w:pPr>
    </w:p>
    <w:p w14:paraId="52A2B174" w14:textId="77777777" w:rsidR="00D62370" w:rsidRDefault="00D62370" w:rsidP="00F70CF2">
      <w:pPr>
        <w:jc w:val="both"/>
        <w:rPr>
          <w:rFonts w:ascii="Times New Roman" w:hAnsi="Times New Roman" w:cs="Times New Roman"/>
          <w:sz w:val="28"/>
          <w:szCs w:val="28"/>
        </w:rPr>
      </w:pPr>
      <w:r>
        <w:rPr>
          <w:rFonts w:ascii="Times New Roman" w:hAnsi="Times New Roman" w:cs="Times New Roman"/>
          <w:sz w:val="28"/>
          <w:szCs w:val="28"/>
        </w:rPr>
        <w:tab/>
        <w:t>Sea en uno u otro caso, el ordinario examen se desarrolla del mismo modo que en la primera instancia.</w:t>
      </w:r>
    </w:p>
    <w:p w14:paraId="7ED87CAC" w14:textId="77777777" w:rsidR="00D62370" w:rsidRDefault="00D62370" w:rsidP="00F70CF2">
      <w:pPr>
        <w:jc w:val="both"/>
        <w:rPr>
          <w:rFonts w:ascii="Times New Roman" w:hAnsi="Times New Roman" w:cs="Times New Roman"/>
          <w:sz w:val="28"/>
          <w:szCs w:val="28"/>
        </w:rPr>
      </w:pPr>
    </w:p>
    <w:p w14:paraId="11B626C8" w14:textId="77777777" w:rsidR="00B9693A" w:rsidRDefault="00D62370" w:rsidP="00F70CF2">
      <w:pPr>
        <w:jc w:val="both"/>
        <w:rPr>
          <w:rFonts w:ascii="Times New Roman" w:hAnsi="Times New Roman" w:cs="Times New Roman"/>
          <w:sz w:val="28"/>
          <w:szCs w:val="28"/>
        </w:rPr>
      </w:pPr>
      <w:r>
        <w:rPr>
          <w:rFonts w:ascii="Times New Roman" w:hAnsi="Times New Roman" w:cs="Times New Roman"/>
          <w:sz w:val="28"/>
          <w:szCs w:val="28"/>
        </w:rPr>
        <w:tab/>
        <w:t xml:space="preserve">La instrucción se preocupa de advertir que el ordinario examen </w:t>
      </w:r>
      <w:r w:rsidR="00B9693A">
        <w:rPr>
          <w:rFonts w:ascii="Times New Roman" w:hAnsi="Times New Roman" w:cs="Times New Roman"/>
          <w:sz w:val="28"/>
          <w:szCs w:val="28"/>
        </w:rPr>
        <w:t xml:space="preserve">puede tener una estructura simplificada, sobre todo, cuando éste sigue a un decreto de reenvío que no deja muchas esperanzas de una confirmación de la sentencia de primer grado. Esta admonición sirve para persuadir indebidas hibidraciones de la línea procesal del </w:t>
      </w:r>
      <w:r w:rsidR="00B9693A">
        <w:rPr>
          <w:rFonts w:ascii="Times New Roman" w:hAnsi="Times New Roman" w:cs="Times New Roman"/>
          <w:i/>
          <w:sz w:val="28"/>
          <w:szCs w:val="28"/>
        </w:rPr>
        <w:t>processus brevior</w:t>
      </w:r>
      <w:r w:rsidR="00B9693A">
        <w:rPr>
          <w:rFonts w:ascii="Times New Roman" w:hAnsi="Times New Roman" w:cs="Times New Roman"/>
          <w:sz w:val="28"/>
          <w:szCs w:val="28"/>
        </w:rPr>
        <w:t>.</w:t>
      </w:r>
    </w:p>
    <w:p w14:paraId="0F034FCC" w14:textId="77777777" w:rsidR="00B9693A" w:rsidRDefault="00B9693A" w:rsidP="00F70CF2">
      <w:pPr>
        <w:jc w:val="both"/>
        <w:rPr>
          <w:rFonts w:ascii="Times New Roman" w:hAnsi="Times New Roman" w:cs="Times New Roman"/>
          <w:sz w:val="28"/>
          <w:szCs w:val="28"/>
        </w:rPr>
      </w:pPr>
    </w:p>
    <w:p w14:paraId="2BA9607C" w14:textId="77777777" w:rsidR="00B9693A" w:rsidRDefault="00B9693A" w:rsidP="00F70CF2">
      <w:pPr>
        <w:jc w:val="both"/>
        <w:rPr>
          <w:rFonts w:ascii="Times New Roman" w:hAnsi="Times New Roman" w:cs="Times New Roman"/>
          <w:sz w:val="28"/>
          <w:szCs w:val="28"/>
        </w:rPr>
      </w:pPr>
      <w:r>
        <w:rPr>
          <w:rFonts w:ascii="Times New Roman" w:hAnsi="Times New Roman" w:cs="Times New Roman"/>
          <w:sz w:val="28"/>
          <w:szCs w:val="28"/>
        </w:rPr>
        <w:tab/>
        <w:t>El art. 267, § 2 DC recuerda que el examen ordinario, sin no hay necesidad de instrucción supletoria, consta de la citación de las partes, la fijación de la fórmula de dudas, de la eventual discusión y decisión de la causa.</w:t>
      </w:r>
    </w:p>
    <w:p w14:paraId="131DB3E6" w14:textId="77777777" w:rsidR="00B9693A" w:rsidRDefault="00B9693A" w:rsidP="00F70CF2">
      <w:pPr>
        <w:jc w:val="both"/>
        <w:rPr>
          <w:rFonts w:ascii="Times New Roman" w:hAnsi="Times New Roman" w:cs="Times New Roman"/>
          <w:sz w:val="28"/>
          <w:szCs w:val="28"/>
        </w:rPr>
      </w:pPr>
    </w:p>
    <w:p w14:paraId="758B42A9" w14:textId="77777777" w:rsidR="00B9693A" w:rsidRDefault="00B9693A" w:rsidP="00F70CF2">
      <w:pPr>
        <w:jc w:val="both"/>
        <w:rPr>
          <w:rFonts w:ascii="Times New Roman" w:hAnsi="Times New Roman" w:cs="Times New Roman"/>
          <w:b/>
          <w:sz w:val="28"/>
          <w:szCs w:val="28"/>
        </w:rPr>
      </w:pPr>
      <w:r>
        <w:rPr>
          <w:rFonts w:ascii="Times New Roman" w:hAnsi="Times New Roman" w:cs="Times New Roman"/>
          <w:b/>
          <w:sz w:val="28"/>
          <w:szCs w:val="28"/>
        </w:rPr>
        <w:t>7. El defensor del vínculo en la fase de apelación</w:t>
      </w:r>
    </w:p>
    <w:p w14:paraId="011690E3" w14:textId="77777777" w:rsidR="00B9693A" w:rsidRDefault="00B9693A" w:rsidP="00F70CF2">
      <w:pPr>
        <w:jc w:val="both"/>
        <w:rPr>
          <w:rFonts w:ascii="Times New Roman" w:hAnsi="Times New Roman" w:cs="Times New Roman"/>
          <w:b/>
          <w:sz w:val="28"/>
          <w:szCs w:val="28"/>
        </w:rPr>
      </w:pPr>
    </w:p>
    <w:p w14:paraId="6DC28D75" w14:textId="77777777" w:rsidR="00B9693A" w:rsidRDefault="00B9693A" w:rsidP="00F70CF2">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En el </w:t>
      </w:r>
      <w:r>
        <w:rPr>
          <w:rFonts w:ascii="Times New Roman" w:hAnsi="Times New Roman" w:cs="Times New Roman"/>
          <w:i/>
          <w:sz w:val="28"/>
          <w:szCs w:val="28"/>
        </w:rPr>
        <w:t>processus brevior</w:t>
      </w:r>
      <w:r>
        <w:rPr>
          <w:rFonts w:ascii="Times New Roman" w:hAnsi="Times New Roman" w:cs="Times New Roman"/>
          <w:sz w:val="28"/>
          <w:szCs w:val="28"/>
        </w:rPr>
        <w:t xml:space="preserve"> el defensor del vínculo del tribunal de apelación está obligado a presentar sus </w:t>
      </w:r>
      <w:r>
        <w:rPr>
          <w:rFonts w:ascii="Times New Roman" w:hAnsi="Times New Roman" w:cs="Times New Roman"/>
          <w:i/>
          <w:sz w:val="28"/>
          <w:szCs w:val="28"/>
        </w:rPr>
        <w:t>animadversiones</w:t>
      </w:r>
      <w:r>
        <w:rPr>
          <w:rFonts w:ascii="Times New Roman" w:hAnsi="Times New Roman" w:cs="Times New Roman"/>
          <w:sz w:val="28"/>
          <w:szCs w:val="28"/>
        </w:rPr>
        <w:t xml:space="preserve">, que el juez, </w:t>
      </w:r>
      <w:r>
        <w:rPr>
          <w:rFonts w:ascii="Times New Roman" w:hAnsi="Times New Roman" w:cs="Times New Roman"/>
          <w:sz w:val="28"/>
          <w:szCs w:val="28"/>
        </w:rPr>
        <w:lastRenderedPageBreak/>
        <w:t>mediante decreto, debe pedir al defensor del vínculo transmitiéndole las actas; el Colegio posteriormente debe tomarlas en consideración y debe responder a ellas en la motivación del decreto de confirmación.</w:t>
      </w:r>
    </w:p>
    <w:p w14:paraId="7DAE2C80" w14:textId="77777777" w:rsidR="00B9693A" w:rsidRDefault="00B9693A" w:rsidP="00F70CF2">
      <w:pPr>
        <w:jc w:val="both"/>
        <w:rPr>
          <w:rFonts w:ascii="Times New Roman" w:hAnsi="Times New Roman" w:cs="Times New Roman"/>
          <w:sz w:val="28"/>
          <w:szCs w:val="28"/>
        </w:rPr>
      </w:pPr>
    </w:p>
    <w:p w14:paraId="61A37B70" w14:textId="77777777" w:rsidR="00B1689C" w:rsidRDefault="00B9693A" w:rsidP="00F70CF2">
      <w:pPr>
        <w:jc w:val="both"/>
        <w:rPr>
          <w:rFonts w:ascii="Times New Roman" w:hAnsi="Times New Roman" w:cs="Times New Roman"/>
          <w:sz w:val="28"/>
          <w:szCs w:val="28"/>
        </w:rPr>
      </w:pPr>
      <w:r>
        <w:rPr>
          <w:rFonts w:ascii="Times New Roman" w:hAnsi="Times New Roman" w:cs="Times New Roman"/>
          <w:sz w:val="28"/>
          <w:szCs w:val="28"/>
        </w:rPr>
        <w:tab/>
        <w:t xml:space="preserve">A estas </w:t>
      </w:r>
      <w:r>
        <w:rPr>
          <w:rFonts w:ascii="Times New Roman" w:hAnsi="Times New Roman" w:cs="Times New Roman"/>
          <w:i/>
          <w:sz w:val="28"/>
          <w:szCs w:val="28"/>
        </w:rPr>
        <w:t xml:space="preserve">animadversiones </w:t>
      </w:r>
      <w:r>
        <w:rPr>
          <w:rFonts w:ascii="Times New Roman" w:hAnsi="Times New Roman" w:cs="Times New Roman"/>
          <w:sz w:val="28"/>
          <w:szCs w:val="28"/>
        </w:rPr>
        <w:t>se aplican algunas prescripciones que genéricamente en la instrucción se refieren al defensor</w:t>
      </w:r>
      <w:r w:rsidR="00B84C5E">
        <w:rPr>
          <w:rFonts w:ascii="Times New Roman" w:hAnsi="Times New Roman" w:cs="Times New Roman"/>
          <w:sz w:val="28"/>
          <w:szCs w:val="28"/>
        </w:rPr>
        <w:t xml:space="preserve"> </w:t>
      </w:r>
      <w:r>
        <w:rPr>
          <w:rFonts w:ascii="Times New Roman" w:hAnsi="Times New Roman" w:cs="Times New Roman"/>
          <w:sz w:val="28"/>
          <w:szCs w:val="28"/>
        </w:rPr>
        <w:t>del vínculo que opera</w:t>
      </w:r>
      <w:r w:rsidR="00B1689C">
        <w:rPr>
          <w:rFonts w:ascii="Times New Roman" w:hAnsi="Times New Roman" w:cs="Times New Roman"/>
          <w:sz w:val="28"/>
          <w:szCs w:val="28"/>
        </w:rPr>
        <w:t xml:space="preserve"> en grado de apelación:</w:t>
      </w:r>
    </w:p>
    <w:p w14:paraId="7EDE6E63" w14:textId="77777777" w:rsidR="00B1689C" w:rsidRDefault="00B1689C" w:rsidP="00F70CF2">
      <w:pPr>
        <w:jc w:val="both"/>
        <w:rPr>
          <w:rFonts w:ascii="Times New Roman" w:hAnsi="Times New Roman" w:cs="Times New Roman"/>
          <w:sz w:val="28"/>
          <w:szCs w:val="28"/>
        </w:rPr>
      </w:pPr>
    </w:p>
    <w:p w14:paraId="6C3F1D45" w14:textId="77777777" w:rsidR="00B1689C" w:rsidRDefault="00B1689C" w:rsidP="00F70CF2">
      <w:pPr>
        <w:jc w:val="both"/>
        <w:rPr>
          <w:rFonts w:ascii="Times New Roman" w:hAnsi="Times New Roman" w:cs="Times New Roman"/>
          <w:sz w:val="28"/>
          <w:szCs w:val="28"/>
        </w:rPr>
      </w:pPr>
      <w:r>
        <w:rPr>
          <w:rFonts w:ascii="Times New Roman" w:hAnsi="Times New Roman" w:cs="Times New Roman"/>
          <w:sz w:val="28"/>
          <w:szCs w:val="28"/>
        </w:rPr>
        <w:tab/>
        <w:t xml:space="preserve">- En el grado de apelación, después de haber diligentemente examinado todas las actas, aunque puede remitir a las </w:t>
      </w:r>
      <w:r>
        <w:rPr>
          <w:rFonts w:ascii="Times New Roman" w:hAnsi="Times New Roman" w:cs="Times New Roman"/>
          <w:i/>
          <w:sz w:val="28"/>
          <w:szCs w:val="28"/>
        </w:rPr>
        <w:t>animadversiones</w:t>
      </w:r>
      <w:r>
        <w:rPr>
          <w:rFonts w:ascii="Times New Roman" w:hAnsi="Times New Roman" w:cs="Times New Roman"/>
          <w:sz w:val="28"/>
          <w:szCs w:val="28"/>
        </w:rPr>
        <w:t xml:space="preserve"> a favor del vínculo exhibidas en la instancia precedente, sin embargo, si ha sido efectuado un suplemento de instrucción, debe proponer sus propias </w:t>
      </w:r>
      <w:r>
        <w:rPr>
          <w:rFonts w:ascii="Times New Roman" w:hAnsi="Times New Roman" w:cs="Times New Roman"/>
          <w:i/>
          <w:sz w:val="28"/>
          <w:szCs w:val="28"/>
        </w:rPr>
        <w:t>animadversiones</w:t>
      </w:r>
      <w:r>
        <w:rPr>
          <w:rFonts w:ascii="Times New Roman" w:hAnsi="Times New Roman" w:cs="Times New Roman"/>
          <w:sz w:val="28"/>
          <w:szCs w:val="28"/>
        </w:rPr>
        <w:t>;</w:t>
      </w:r>
    </w:p>
    <w:p w14:paraId="4055D027" w14:textId="77777777" w:rsidR="00B1689C" w:rsidRDefault="00B1689C" w:rsidP="00F70CF2">
      <w:pPr>
        <w:jc w:val="both"/>
        <w:rPr>
          <w:rFonts w:ascii="Times New Roman" w:hAnsi="Times New Roman" w:cs="Times New Roman"/>
          <w:sz w:val="28"/>
          <w:szCs w:val="28"/>
        </w:rPr>
      </w:pPr>
    </w:p>
    <w:p w14:paraId="1B5B64B3" w14:textId="77777777" w:rsidR="00B1689C" w:rsidRDefault="00B1689C" w:rsidP="00F70CF2">
      <w:pPr>
        <w:jc w:val="both"/>
        <w:rPr>
          <w:rFonts w:ascii="Times New Roman" w:hAnsi="Times New Roman" w:cs="Times New Roman"/>
          <w:sz w:val="28"/>
          <w:szCs w:val="28"/>
        </w:rPr>
      </w:pPr>
      <w:r>
        <w:rPr>
          <w:rFonts w:ascii="Times New Roman" w:hAnsi="Times New Roman" w:cs="Times New Roman"/>
          <w:sz w:val="28"/>
          <w:szCs w:val="28"/>
        </w:rPr>
        <w:tab/>
        <w:t>- En las causas de incapacidad de las que trata el can. 1095, le corresponde, en caso de sentencia afirmativa, al tribunal de apelación indicar con claridad si algún elemento contra el vínculo no ha sido correctamente considerado por los jueces.</w:t>
      </w:r>
    </w:p>
    <w:p w14:paraId="1B90978A" w14:textId="77777777" w:rsidR="00B1689C" w:rsidRDefault="00B1689C" w:rsidP="00F70CF2">
      <w:pPr>
        <w:jc w:val="both"/>
        <w:rPr>
          <w:rFonts w:ascii="Times New Roman" w:hAnsi="Times New Roman" w:cs="Times New Roman"/>
          <w:sz w:val="28"/>
          <w:szCs w:val="28"/>
        </w:rPr>
      </w:pPr>
    </w:p>
    <w:p w14:paraId="25A00178" w14:textId="322079BF" w:rsidR="00127499" w:rsidRDefault="00B1689C" w:rsidP="00F70CF2">
      <w:pPr>
        <w:jc w:val="both"/>
        <w:rPr>
          <w:rFonts w:ascii="Times New Roman" w:hAnsi="Times New Roman" w:cs="Times New Roman"/>
          <w:sz w:val="28"/>
          <w:szCs w:val="28"/>
        </w:rPr>
      </w:pPr>
      <w:r>
        <w:rPr>
          <w:rFonts w:ascii="Times New Roman" w:hAnsi="Times New Roman" w:cs="Times New Roman"/>
          <w:sz w:val="28"/>
          <w:szCs w:val="28"/>
        </w:rPr>
        <w:tab/>
        <w:t>La Instrucción DC no es un tratado académico: quiere evitar abusos macroscópicos en algunos tribunales o praxis viciadas. El defensor del vínculo debe realizar eficazmente su oficio por el que dispone de todas las prerrogativas y derechos necesarios.</w:t>
      </w:r>
    </w:p>
    <w:p w14:paraId="3D138D4C" w14:textId="77777777" w:rsidR="00B1689C" w:rsidRDefault="00B1689C" w:rsidP="00F70CF2">
      <w:pPr>
        <w:jc w:val="both"/>
        <w:rPr>
          <w:rFonts w:ascii="Times New Roman" w:hAnsi="Times New Roman" w:cs="Times New Roman"/>
          <w:sz w:val="28"/>
          <w:szCs w:val="28"/>
        </w:rPr>
      </w:pPr>
    </w:p>
    <w:p w14:paraId="22EB65C3" w14:textId="10534AE3" w:rsidR="00B1689C" w:rsidRPr="00B1689C" w:rsidRDefault="00B1689C" w:rsidP="00F70CF2">
      <w:pPr>
        <w:jc w:val="both"/>
        <w:rPr>
          <w:rFonts w:ascii="Times New Roman" w:hAnsi="Times New Roman" w:cs="Times New Roman"/>
          <w:sz w:val="28"/>
          <w:szCs w:val="28"/>
        </w:rPr>
      </w:pPr>
      <w:r>
        <w:rPr>
          <w:rFonts w:ascii="Times New Roman" w:hAnsi="Times New Roman" w:cs="Times New Roman"/>
          <w:sz w:val="28"/>
          <w:szCs w:val="28"/>
        </w:rPr>
        <w:tab/>
        <w:t xml:space="preserve">La Instrucción DC pone en evidencia la facultad de apelar (naturalmente contra una sentencia afirmativa o actuando a favor del vínculo); es más, al defensor del vínculo corresponde el </w:t>
      </w:r>
      <w:r>
        <w:rPr>
          <w:rFonts w:ascii="Times New Roman" w:hAnsi="Times New Roman" w:cs="Times New Roman"/>
          <w:i/>
          <w:sz w:val="28"/>
          <w:szCs w:val="28"/>
        </w:rPr>
        <w:t>deber</w:t>
      </w:r>
      <w:r>
        <w:rPr>
          <w:rFonts w:ascii="Times New Roman" w:hAnsi="Times New Roman" w:cs="Times New Roman"/>
          <w:sz w:val="28"/>
          <w:szCs w:val="28"/>
        </w:rPr>
        <w:t xml:space="preserve"> de apelar: cuando no considera suficientemente fundada la sentencia. </w:t>
      </w:r>
    </w:p>
    <w:p w14:paraId="6203CA6B" w14:textId="77777777" w:rsidR="00562549" w:rsidRPr="00562549" w:rsidRDefault="00562549" w:rsidP="00F70CF2">
      <w:pPr>
        <w:jc w:val="both"/>
        <w:rPr>
          <w:rFonts w:ascii="Times New Roman" w:hAnsi="Times New Roman" w:cs="Times New Roman"/>
          <w:sz w:val="28"/>
          <w:szCs w:val="28"/>
        </w:rPr>
      </w:pPr>
    </w:p>
    <w:p w14:paraId="46794682" w14:textId="77777777" w:rsidR="00F70CF2" w:rsidRDefault="00F70CF2" w:rsidP="00AF341F">
      <w:pPr>
        <w:jc w:val="both"/>
        <w:rPr>
          <w:rFonts w:ascii="Times New Roman" w:hAnsi="Times New Roman" w:cs="Times New Roman"/>
          <w:sz w:val="28"/>
          <w:szCs w:val="28"/>
        </w:rPr>
      </w:pPr>
    </w:p>
    <w:p w14:paraId="3592C8B0" w14:textId="77777777" w:rsidR="00F70CF2" w:rsidRPr="0098178D" w:rsidRDefault="00F70CF2" w:rsidP="00AF341F">
      <w:pPr>
        <w:jc w:val="both"/>
        <w:rPr>
          <w:rFonts w:ascii="Times New Roman" w:hAnsi="Times New Roman" w:cs="Times New Roman"/>
          <w:sz w:val="28"/>
          <w:szCs w:val="28"/>
        </w:rPr>
      </w:pPr>
    </w:p>
    <w:sectPr w:rsidR="00F70CF2" w:rsidRPr="0098178D" w:rsidSect="0066763F">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41F"/>
    <w:rsid w:val="00017414"/>
    <w:rsid w:val="00127499"/>
    <w:rsid w:val="002B6FEF"/>
    <w:rsid w:val="002D651A"/>
    <w:rsid w:val="003F468A"/>
    <w:rsid w:val="0046275C"/>
    <w:rsid w:val="00466E96"/>
    <w:rsid w:val="00562549"/>
    <w:rsid w:val="005C321E"/>
    <w:rsid w:val="0066763F"/>
    <w:rsid w:val="008C2FEB"/>
    <w:rsid w:val="0098178D"/>
    <w:rsid w:val="009A5B79"/>
    <w:rsid w:val="009E3860"/>
    <w:rsid w:val="00AF341F"/>
    <w:rsid w:val="00B1689C"/>
    <w:rsid w:val="00B84C5E"/>
    <w:rsid w:val="00B9693A"/>
    <w:rsid w:val="00D62370"/>
    <w:rsid w:val="00E02F00"/>
    <w:rsid w:val="00EA521C"/>
    <w:rsid w:val="00EF13A9"/>
    <w:rsid w:val="00F17378"/>
    <w:rsid w:val="00F70CF2"/>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6348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34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34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2821</Words>
  <Characters>15521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Operarios</Company>
  <LinksUpToDate>false</LinksUpToDate>
  <CharactersWithSpaces>18306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Cedillo</dc:creator>
  <cp:lastModifiedBy>Dory Lopez</cp:lastModifiedBy>
  <cp:revision>2</cp:revision>
  <dcterms:created xsi:type="dcterms:W3CDTF">2014-08-28T17:29:00Z</dcterms:created>
  <dcterms:modified xsi:type="dcterms:W3CDTF">2014-08-28T17:29:00Z</dcterms:modified>
</cp:coreProperties>
</file>